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B20" w:rsidRPr="00F02B20" w:rsidRDefault="00F02B20" w:rsidP="00F02B20">
      <w:pPr>
        <w:suppressAutoHyphens/>
        <w:spacing w:after="0" w:line="240" w:lineRule="auto"/>
        <w:jc w:val="both"/>
        <w:rPr>
          <w:rFonts w:ascii="Times New Roman" w:eastAsia="Times New Roman" w:hAnsi="Times New Roman" w:cs="Times New Roman"/>
          <w:i/>
          <w:sz w:val="24"/>
          <w:szCs w:val="24"/>
          <w:lang w:eastAsia="ar-SA"/>
        </w:rPr>
      </w:pPr>
    </w:p>
    <w:p w:rsidR="004603CB" w:rsidRDefault="00F02B20" w:rsidP="004603CB">
      <w:pPr>
        <w:pStyle w:val="Nzov"/>
        <w:rPr>
          <w:sz w:val="52"/>
        </w:rPr>
      </w:pPr>
      <w:r w:rsidRPr="00F02B20">
        <w:rPr>
          <w:rFonts w:asciiTheme="majorHAnsi" w:eastAsiaTheme="majorEastAsia" w:hAnsiTheme="majorHAnsi" w:cstheme="majorBidi"/>
          <w:i/>
          <w:iCs/>
          <w:color w:val="243F60" w:themeColor="accent1" w:themeShade="7F"/>
          <w:sz w:val="40"/>
          <w:szCs w:val="40"/>
        </w:rPr>
        <w:t xml:space="preserve">              </w:t>
      </w:r>
      <w:r w:rsidR="004603CB">
        <w:rPr>
          <w:sz w:val="52"/>
        </w:rPr>
        <w:t>OBEC  Ploské</w:t>
      </w:r>
    </w:p>
    <w:p w:rsidR="004603CB" w:rsidRDefault="004603CB" w:rsidP="004603CB">
      <w:pPr>
        <w:jc w:val="center"/>
        <w:rPr>
          <w:b/>
          <w:bCs/>
          <w:sz w:val="28"/>
        </w:rPr>
      </w:pPr>
      <w:r>
        <w:rPr>
          <w:b/>
          <w:bCs/>
          <w:sz w:val="28"/>
        </w:rPr>
        <w:t>______________________________________________________________</w:t>
      </w:r>
    </w:p>
    <w:p w:rsidR="004603CB" w:rsidRDefault="004603CB" w:rsidP="004603CB">
      <w:pPr>
        <w:suppressAutoHyphens/>
        <w:jc w:val="both"/>
        <w:rPr>
          <w:rFonts w:eastAsia="Times New Roman"/>
          <w:i/>
          <w:sz w:val="24"/>
          <w:lang w:eastAsia="ar-SA"/>
        </w:rPr>
      </w:pPr>
    </w:p>
    <w:p w:rsidR="004603CB" w:rsidRDefault="004603CB" w:rsidP="004603CB">
      <w:pPr>
        <w:suppressAutoHyphens/>
        <w:jc w:val="both"/>
        <w:rPr>
          <w:rFonts w:eastAsia="Times New Roman"/>
          <w:i/>
          <w:lang w:eastAsia="ar-SA"/>
        </w:rPr>
      </w:pPr>
    </w:p>
    <w:p w:rsidR="00F02B20" w:rsidRPr="00F02B20" w:rsidRDefault="004603CB" w:rsidP="004603CB">
      <w:pPr>
        <w:keepNext/>
        <w:keepLines/>
        <w:suppressAutoHyphens/>
        <w:spacing w:before="200" w:after="0" w:line="240" w:lineRule="auto"/>
        <w:outlineLvl w:val="5"/>
        <w:rPr>
          <w:rFonts w:ascii="Times New Roman" w:eastAsia="Times New Roman" w:hAnsi="Times New Roman" w:cs="Times New Roman"/>
          <w:sz w:val="24"/>
          <w:szCs w:val="24"/>
          <w:lang w:eastAsia="ar-SA"/>
        </w:rPr>
      </w:pPr>
      <w:r>
        <w:rPr>
          <w:rFonts w:ascii="Cambria" w:eastAsia="Times New Roman" w:hAnsi="Cambria"/>
          <w:i/>
          <w:noProof/>
          <w:color w:val="243F60"/>
          <w:sz w:val="40"/>
          <w:szCs w:val="40"/>
          <w:lang w:eastAsia="sk-SK"/>
        </w:rPr>
        <w:t xml:space="preserve">                                              </w:t>
      </w:r>
      <w:r>
        <w:rPr>
          <w:rFonts w:ascii="Cambria" w:eastAsia="Times New Roman" w:hAnsi="Cambria"/>
          <w:i/>
          <w:noProof/>
          <w:color w:val="243F60"/>
          <w:sz w:val="40"/>
          <w:szCs w:val="40"/>
          <w:lang w:eastAsia="sk-SK"/>
        </w:rPr>
        <w:drawing>
          <wp:inline distT="0" distB="0" distL="0" distR="0">
            <wp:extent cx="763270" cy="967105"/>
            <wp:effectExtent l="19050" t="0" r="0" b="0"/>
            <wp:docPr id="1" name="Obrázok 1" descr="plosk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ploské"/>
                    <pic:cNvPicPr>
                      <a:picLocks noChangeAspect="1" noChangeArrowheads="1"/>
                    </pic:cNvPicPr>
                  </pic:nvPicPr>
                  <pic:blipFill>
                    <a:blip r:embed="rId8"/>
                    <a:srcRect/>
                    <a:stretch>
                      <a:fillRect/>
                    </a:stretch>
                  </pic:blipFill>
                  <pic:spPr bwMode="auto">
                    <a:xfrm>
                      <a:off x="0" y="0"/>
                      <a:ext cx="763270" cy="967105"/>
                    </a:xfrm>
                    <a:prstGeom prst="rect">
                      <a:avLst/>
                    </a:prstGeom>
                    <a:noFill/>
                    <a:ln w="9525">
                      <a:noFill/>
                      <a:miter lim="800000"/>
                      <a:headEnd/>
                      <a:tailEnd/>
                    </a:ln>
                  </pic:spPr>
                </pic:pic>
              </a:graphicData>
            </a:graphic>
          </wp:inline>
        </w:drawing>
      </w:r>
    </w:p>
    <w:p w:rsidR="00F02B20" w:rsidRPr="00F02B20" w:rsidRDefault="00F02B20" w:rsidP="00F02B20">
      <w:pPr>
        <w:suppressAutoHyphens/>
        <w:spacing w:after="0" w:line="240" w:lineRule="auto"/>
        <w:rPr>
          <w:rFonts w:ascii="Times New Roman" w:eastAsia="Times New Roman" w:hAnsi="Times New Roman" w:cs="Times New Roman"/>
          <w:sz w:val="24"/>
          <w:szCs w:val="24"/>
          <w:lang w:eastAsia="ar-SA"/>
        </w:rPr>
      </w:pPr>
    </w:p>
    <w:p w:rsidR="00F02B20" w:rsidRPr="00F02B20" w:rsidRDefault="00F02B20" w:rsidP="00F02B20">
      <w:pPr>
        <w:suppressAutoHyphens/>
        <w:spacing w:after="0" w:line="240" w:lineRule="auto"/>
        <w:rPr>
          <w:rFonts w:ascii="Times New Roman" w:eastAsia="Times New Roman" w:hAnsi="Times New Roman" w:cs="Times New Roman"/>
          <w:sz w:val="24"/>
          <w:szCs w:val="24"/>
          <w:lang w:eastAsia="ar-SA"/>
        </w:rPr>
      </w:pPr>
    </w:p>
    <w:p w:rsidR="00F02B20" w:rsidRPr="00F02B20" w:rsidRDefault="00F02B20" w:rsidP="00F02B20">
      <w:pPr>
        <w:suppressAutoHyphens/>
        <w:spacing w:after="0" w:line="240" w:lineRule="auto"/>
        <w:rPr>
          <w:rFonts w:ascii="Times New Roman" w:eastAsia="Times New Roman" w:hAnsi="Times New Roman" w:cs="Times New Roman"/>
          <w:sz w:val="24"/>
          <w:szCs w:val="24"/>
          <w:lang w:eastAsia="ar-SA"/>
        </w:rPr>
      </w:pPr>
    </w:p>
    <w:p w:rsidR="00F02B20" w:rsidRPr="00F02B20" w:rsidRDefault="00F02B20" w:rsidP="00F02B20">
      <w:pPr>
        <w:suppressAutoHyphens/>
        <w:spacing w:after="0" w:line="240" w:lineRule="auto"/>
        <w:rPr>
          <w:rFonts w:ascii="Times New Roman" w:eastAsia="Times New Roman" w:hAnsi="Times New Roman" w:cs="Times New Roman"/>
          <w:sz w:val="24"/>
          <w:szCs w:val="24"/>
          <w:lang w:eastAsia="ar-SA"/>
        </w:rPr>
      </w:pPr>
    </w:p>
    <w:p w:rsidR="00F02B20" w:rsidRDefault="00F02B20" w:rsidP="00F02B20">
      <w:pPr>
        <w:suppressAutoHyphens/>
        <w:spacing w:after="0" w:line="240" w:lineRule="auto"/>
        <w:rPr>
          <w:rFonts w:ascii="Times New Roman" w:eastAsia="Times New Roman" w:hAnsi="Times New Roman" w:cs="Times New Roman"/>
          <w:sz w:val="24"/>
          <w:szCs w:val="24"/>
          <w:lang w:eastAsia="ar-SA"/>
        </w:rPr>
      </w:pPr>
    </w:p>
    <w:p w:rsidR="00491746" w:rsidRPr="00F02B20" w:rsidRDefault="00491746" w:rsidP="00F02B20">
      <w:pPr>
        <w:suppressAutoHyphens/>
        <w:spacing w:after="0" w:line="240" w:lineRule="auto"/>
        <w:rPr>
          <w:rFonts w:ascii="Times New Roman" w:eastAsia="Times New Roman" w:hAnsi="Times New Roman" w:cs="Times New Roman"/>
          <w:sz w:val="24"/>
          <w:szCs w:val="24"/>
          <w:lang w:eastAsia="ar-SA"/>
        </w:rPr>
      </w:pPr>
    </w:p>
    <w:p w:rsidR="00C93522" w:rsidRPr="00F02B20" w:rsidRDefault="00C93522" w:rsidP="00F02B20">
      <w:pPr>
        <w:suppressAutoHyphens/>
        <w:spacing w:after="0" w:line="240" w:lineRule="auto"/>
        <w:rPr>
          <w:rFonts w:ascii="Times New Roman" w:eastAsia="Times New Roman" w:hAnsi="Times New Roman" w:cs="Times New Roman"/>
          <w:sz w:val="24"/>
          <w:szCs w:val="24"/>
          <w:lang w:eastAsia="ar-SA"/>
        </w:rPr>
      </w:pPr>
    </w:p>
    <w:p w:rsidR="00F02B20" w:rsidRPr="00F02B20" w:rsidRDefault="00F02B20" w:rsidP="00F02B20">
      <w:pPr>
        <w:suppressAutoHyphens/>
        <w:spacing w:after="0" w:line="240" w:lineRule="auto"/>
        <w:jc w:val="center"/>
        <w:rPr>
          <w:rFonts w:ascii="Times New Roman" w:eastAsia="Times New Roman" w:hAnsi="Times New Roman" w:cs="Times New Roman"/>
          <w:sz w:val="24"/>
          <w:szCs w:val="24"/>
          <w:lang w:eastAsia="ar-SA"/>
        </w:rPr>
      </w:pPr>
    </w:p>
    <w:p w:rsidR="00F02B20" w:rsidRPr="00F02B20" w:rsidRDefault="00F02B20" w:rsidP="00F02B20">
      <w:pPr>
        <w:spacing w:after="0" w:line="240" w:lineRule="auto"/>
        <w:jc w:val="center"/>
        <w:rPr>
          <w:rFonts w:ascii="Times New Roman" w:eastAsia="Times New Roman" w:hAnsi="Times New Roman" w:cs="Times New Roman"/>
          <w:sz w:val="36"/>
          <w:szCs w:val="36"/>
          <w:lang w:eastAsia="sk-SK"/>
        </w:rPr>
      </w:pPr>
      <w:r w:rsidRPr="00F02B20">
        <w:rPr>
          <w:rFonts w:ascii="Times New Roman" w:eastAsia="Times New Roman" w:hAnsi="Times New Roman" w:cs="Times New Roman"/>
          <w:b/>
          <w:bCs/>
          <w:i/>
          <w:iCs/>
          <w:sz w:val="36"/>
          <w:szCs w:val="36"/>
          <w:lang w:eastAsia="sk-SK"/>
        </w:rPr>
        <w:t>V Š E O B E C N E   Z Á V Ã Z N É   N A R I A D E N I E</w:t>
      </w:r>
    </w:p>
    <w:p w:rsidR="00F02B20" w:rsidRPr="00F02B20" w:rsidRDefault="00F02B20" w:rsidP="00F02B20">
      <w:pPr>
        <w:spacing w:after="0" w:line="240" w:lineRule="auto"/>
        <w:jc w:val="center"/>
        <w:rPr>
          <w:rFonts w:ascii="Times New Roman" w:eastAsia="Times New Roman" w:hAnsi="Times New Roman" w:cs="Times New Roman"/>
          <w:b/>
          <w:bCs/>
          <w:i/>
          <w:iCs/>
          <w:sz w:val="36"/>
          <w:szCs w:val="36"/>
          <w:lang w:eastAsia="sk-SK"/>
        </w:rPr>
      </w:pPr>
    </w:p>
    <w:p w:rsidR="00F02B20" w:rsidRPr="00F02B20" w:rsidRDefault="00F02B20" w:rsidP="00F02B20">
      <w:pPr>
        <w:spacing w:after="0" w:line="240" w:lineRule="auto"/>
        <w:jc w:val="center"/>
        <w:rPr>
          <w:rFonts w:ascii="Times New Roman" w:eastAsia="Times New Roman" w:hAnsi="Times New Roman" w:cs="Times New Roman"/>
          <w:sz w:val="36"/>
          <w:szCs w:val="36"/>
          <w:lang w:eastAsia="sk-SK"/>
        </w:rPr>
      </w:pPr>
      <w:r w:rsidRPr="00F02B20">
        <w:rPr>
          <w:rFonts w:ascii="Times New Roman" w:eastAsia="Times New Roman" w:hAnsi="Times New Roman" w:cs="Times New Roman"/>
          <w:b/>
          <w:bCs/>
          <w:i/>
          <w:iCs/>
          <w:sz w:val="36"/>
          <w:szCs w:val="36"/>
          <w:lang w:eastAsia="sk-SK"/>
        </w:rPr>
        <w:t xml:space="preserve">č. </w:t>
      </w:r>
      <w:r w:rsidR="004603CB">
        <w:rPr>
          <w:rFonts w:ascii="Times New Roman" w:eastAsia="Times New Roman" w:hAnsi="Times New Roman" w:cs="Times New Roman"/>
          <w:b/>
          <w:bCs/>
          <w:i/>
          <w:iCs/>
          <w:sz w:val="36"/>
          <w:szCs w:val="36"/>
          <w:lang w:eastAsia="sk-SK"/>
        </w:rPr>
        <w:t>2/202</w:t>
      </w:r>
      <w:r w:rsidR="004D2114">
        <w:rPr>
          <w:rFonts w:ascii="Times New Roman" w:eastAsia="Times New Roman" w:hAnsi="Times New Roman" w:cs="Times New Roman"/>
          <w:b/>
          <w:bCs/>
          <w:i/>
          <w:iCs/>
          <w:sz w:val="36"/>
          <w:szCs w:val="36"/>
          <w:lang w:eastAsia="sk-SK"/>
        </w:rPr>
        <w:t>2</w:t>
      </w:r>
    </w:p>
    <w:p w:rsidR="00F02B20" w:rsidRPr="00F02B20" w:rsidRDefault="00F02B20" w:rsidP="00F02B20">
      <w:pPr>
        <w:spacing w:after="0" w:line="240" w:lineRule="auto"/>
        <w:jc w:val="center"/>
        <w:rPr>
          <w:rFonts w:ascii="Times New Roman" w:eastAsia="Times New Roman" w:hAnsi="Times New Roman" w:cs="Times New Roman"/>
          <w:b/>
          <w:bCs/>
          <w:i/>
          <w:iCs/>
          <w:sz w:val="28"/>
          <w:szCs w:val="28"/>
          <w:lang w:eastAsia="sk-SK"/>
        </w:rPr>
      </w:pPr>
    </w:p>
    <w:p w:rsidR="00F02B20" w:rsidRPr="00F02B20" w:rsidRDefault="00F02B20" w:rsidP="00F02B20">
      <w:pPr>
        <w:pStyle w:val="Normlnywebov"/>
        <w:spacing w:before="0" w:beforeAutospacing="0" w:after="0"/>
        <w:jc w:val="center"/>
        <w:rPr>
          <w:sz w:val="28"/>
          <w:szCs w:val="28"/>
        </w:rPr>
      </w:pPr>
      <w:r w:rsidRPr="00F02B20">
        <w:rPr>
          <w:b/>
          <w:bCs/>
          <w:i/>
          <w:iCs/>
          <w:sz w:val="28"/>
          <w:szCs w:val="28"/>
        </w:rPr>
        <w:t>o</w:t>
      </w:r>
      <w:r w:rsidR="00D74DC9">
        <w:rPr>
          <w:b/>
          <w:bCs/>
          <w:i/>
          <w:iCs/>
          <w:sz w:val="28"/>
          <w:szCs w:val="28"/>
        </w:rPr>
        <w:t> miestnej dani z nehnuteľností</w:t>
      </w:r>
      <w:r w:rsidRPr="00F02B20">
        <w:rPr>
          <w:b/>
          <w:bCs/>
          <w:i/>
          <w:iCs/>
          <w:sz w:val="28"/>
          <w:szCs w:val="28"/>
        </w:rPr>
        <w:t xml:space="preserve"> </w:t>
      </w:r>
      <w:r w:rsidRPr="00F02B20">
        <w:rPr>
          <w:sz w:val="28"/>
          <w:szCs w:val="28"/>
        </w:rPr>
        <w:t xml:space="preserve"> </w:t>
      </w:r>
    </w:p>
    <w:p w:rsidR="00F02B20" w:rsidRPr="00F02B20" w:rsidRDefault="00F02B20" w:rsidP="00F02B20">
      <w:pPr>
        <w:spacing w:after="0" w:line="240" w:lineRule="auto"/>
        <w:jc w:val="center"/>
        <w:rPr>
          <w:rFonts w:ascii="Times New Roman" w:eastAsia="Times New Roman" w:hAnsi="Times New Roman" w:cs="Times New Roman"/>
          <w:sz w:val="28"/>
          <w:szCs w:val="28"/>
          <w:lang w:eastAsia="sk-SK"/>
        </w:rPr>
      </w:pPr>
      <w:r w:rsidRPr="00F02B20">
        <w:rPr>
          <w:rFonts w:ascii="Times New Roman" w:eastAsia="Times New Roman" w:hAnsi="Times New Roman" w:cs="Times New Roman"/>
          <w:b/>
          <w:bCs/>
          <w:i/>
          <w:iCs/>
          <w:sz w:val="28"/>
          <w:szCs w:val="28"/>
          <w:lang w:eastAsia="sk-SK"/>
        </w:rPr>
        <w:t xml:space="preserve">na území obce </w:t>
      </w:r>
      <w:r w:rsidR="004603CB">
        <w:rPr>
          <w:rFonts w:ascii="Times New Roman" w:eastAsia="Times New Roman" w:hAnsi="Times New Roman" w:cs="Times New Roman"/>
          <w:b/>
          <w:bCs/>
          <w:i/>
          <w:iCs/>
          <w:sz w:val="28"/>
          <w:szCs w:val="28"/>
          <w:lang w:eastAsia="sk-SK"/>
        </w:rPr>
        <w:t>Ploské</w:t>
      </w:r>
    </w:p>
    <w:p w:rsidR="00F02B20" w:rsidRPr="00F02B20" w:rsidRDefault="00F02B20" w:rsidP="00F02B20">
      <w:pPr>
        <w:suppressAutoHyphens/>
        <w:spacing w:after="0" w:line="240" w:lineRule="auto"/>
        <w:jc w:val="both"/>
        <w:rPr>
          <w:rFonts w:ascii="Times New Roman" w:eastAsia="Times New Roman" w:hAnsi="Times New Roman" w:cs="Times New Roman"/>
          <w:i/>
          <w:sz w:val="36"/>
          <w:szCs w:val="36"/>
          <w:lang w:eastAsia="ar-SA"/>
        </w:rPr>
      </w:pPr>
    </w:p>
    <w:p w:rsidR="00F02B20" w:rsidRPr="00F02B20" w:rsidRDefault="00F02B20" w:rsidP="00F02B20">
      <w:pPr>
        <w:suppressAutoHyphens/>
        <w:spacing w:after="0" w:line="240" w:lineRule="auto"/>
        <w:jc w:val="both"/>
        <w:rPr>
          <w:rFonts w:ascii="Times New Roman" w:eastAsia="Times New Roman" w:hAnsi="Times New Roman" w:cs="Times New Roman"/>
          <w:i/>
          <w:sz w:val="24"/>
          <w:szCs w:val="24"/>
          <w:lang w:eastAsia="ar-SA"/>
        </w:rPr>
      </w:pPr>
    </w:p>
    <w:p w:rsidR="00F02B20" w:rsidRPr="00F02B20" w:rsidRDefault="00F02B20" w:rsidP="00F02B20">
      <w:pPr>
        <w:suppressAutoHyphens/>
        <w:spacing w:after="0" w:line="240" w:lineRule="auto"/>
        <w:jc w:val="both"/>
        <w:rPr>
          <w:rFonts w:ascii="Times New Roman" w:eastAsia="Times New Roman" w:hAnsi="Times New Roman" w:cs="Times New Roman"/>
          <w:i/>
          <w:sz w:val="24"/>
          <w:szCs w:val="24"/>
          <w:lang w:eastAsia="ar-SA"/>
        </w:rPr>
      </w:pPr>
    </w:p>
    <w:p w:rsidR="00F02B20" w:rsidRPr="00F02B20" w:rsidRDefault="00F02B20" w:rsidP="00F02B20">
      <w:pPr>
        <w:suppressAutoHyphens/>
        <w:spacing w:after="0" w:line="240" w:lineRule="auto"/>
        <w:jc w:val="both"/>
        <w:rPr>
          <w:rFonts w:ascii="Times New Roman" w:eastAsia="Times New Roman" w:hAnsi="Times New Roman" w:cs="Times New Roman"/>
          <w:i/>
          <w:sz w:val="24"/>
          <w:szCs w:val="24"/>
          <w:lang w:eastAsia="ar-SA"/>
        </w:rPr>
      </w:pPr>
    </w:p>
    <w:p w:rsidR="00F02B20" w:rsidRPr="00F02B20" w:rsidRDefault="00F02B20" w:rsidP="00F02B20">
      <w:pPr>
        <w:suppressAutoHyphens/>
        <w:spacing w:after="0" w:line="240" w:lineRule="auto"/>
        <w:jc w:val="both"/>
        <w:rPr>
          <w:rFonts w:ascii="Times New Roman" w:eastAsia="Times New Roman" w:hAnsi="Times New Roman" w:cs="Times New Roman"/>
          <w:i/>
          <w:sz w:val="24"/>
          <w:szCs w:val="24"/>
          <w:lang w:eastAsia="ar-SA"/>
        </w:rPr>
      </w:pPr>
    </w:p>
    <w:p w:rsidR="00F02B20" w:rsidRPr="00F02B20" w:rsidRDefault="00F02B20" w:rsidP="00F02B20">
      <w:pPr>
        <w:suppressAutoHyphens/>
        <w:spacing w:after="0" w:line="240" w:lineRule="auto"/>
        <w:jc w:val="both"/>
        <w:rPr>
          <w:rFonts w:ascii="Times New Roman" w:eastAsia="Times New Roman" w:hAnsi="Times New Roman" w:cs="Times New Roman"/>
          <w:i/>
          <w:sz w:val="24"/>
          <w:szCs w:val="24"/>
          <w:lang w:eastAsia="ar-SA"/>
        </w:rPr>
      </w:pPr>
    </w:p>
    <w:p w:rsidR="00F02B20" w:rsidRPr="00F02B20" w:rsidRDefault="00F02B20" w:rsidP="00F02B20">
      <w:pPr>
        <w:suppressAutoHyphens/>
        <w:spacing w:after="0" w:line="240" w:lineRule="auto"/>
        <w:jc w:val="both"/>
        <w:rPr>
          <w:rFonts w:ascii="Times New Roman" w:eastAsia="Times New Roman" w:hAnsi="Times New Roman" w:cs="Times New Roman"/>
          <w:i/>
          <w:sz w:val="24"/>
          <w:szCs w:val="24"/>
          <w:lang w:eastAsia="ar-SA"/>
        </w:rPr>
      </w:pPr>
    </w:p>
    <w:p w:rsidR="00F02B20" w:rsidRPr="00F02B20" w:rsidRDefault="00F02B20" w:rsidP="00F02B20">
      <w:pPr>
        <w:suppressAutoHyphens/>
        <w:spacing w:after="0" w:line="240" w:lineRule="auto"/>
        <w:jc w:val="both"/>
        <w:rPr>
          <w:rFonts w:ascii="Times New Roman" w:eastAsia="Times New Roman" w:hAnsi="Times New Roman" w:cs="Times New Roman"/>
          <w:i/>
          <w:sz w:val="24"/>
          <w:szCs w:val="24"/>
          <w:lang w:eastAsia="ar-SA"/>
        </w:rPr>
      </w:pPr>
    </w:p>
    <w:p w:rsidR="00F02B20" w:rsidRPr="00F02B20" w:rsidRDefault="00F02B20" w:rsidP="00F02B20">
      <w:pPr>
        <w:suppressAutoHyphens/>
        <w:spacing w:after="0" w:line="240" w:lineRule="auto"/>
        <w:jc w:val="both"/>
        <w:rPr>
          <w:rFonts w:ascii="Times New Roman" w:eastAsia="Times New Roman" w:hAnsi="Times New Roman" w:cs="Times New Roman"/>
          <w:i/>
          <w:sz w:val="24"/>
          <w:szCs w:val="24"/>
          <w:lang w:eastAsia="ar-SA"/>
        </w:rPr>
      </w:pPr>
    </w:p>
    <w:p w:rsidR="00F02B20" w:rsidRPr="00F02B20" w:rsidRDefault="00F02B20" w:rsidP="00F02B20">
      <w:pPr>
        <w:suppressAutoHyphens/>
        <w:spacing w:after="0" w:line="240" w:lineRule="auto"/>
        <w:jc w:val="both"/>
        <w:rPr>
          <w:rFonts w:ascii="Times New Roman" w:eastAsia="Times New Roman" w:hAnsi="Times New Roman" w:cs="Times New Roman"/>
          <w:i/>
          <w:sz w:val="24"/>
          <w:szCs w:val="24"/>
          <w:lang w:eastAsia="ar-SA"/>
        </w:rPr>
      </w:pPr>
    </w:p>
    <w:p w:rsidR="00F02B20" w:rsidRPr="00F02B20" w:rsidRDefault="00F02B20" w:rsidP="00F02B20">
      <w:pPr>
        <w:suppressAutoHyphens/>
        <w:spacing w:after="0" w:line="240" w:lineRule="auto"/>
        <w:jc w:val="both"/>
        <w:rPr>
          <w:rFonts w:ascii="Times New Roman" w:eastAsia="Times New Roman" w:hAnsi="Times New Roman" w:cs="Times New Roman"/>
          <w:i/>
          <w:sz w:val="24"/>
          <w:szCs w:val="24"/>
          <w:lang w:eastAsia="ar-SA"/>
        </w:rPr>
      </w:pPr>
      <w:r w:rsidRPr="00F02B20">
        <w:rPr>
          <w:rFonts w:ascii="Times New Roman" w:eastAsia="Times New Roman" w:hAnsi="Times New Roman" w:cs="Times New Roman"/>
          <w:i/>
          <w:sz w:val="24"/>
          <w:szCs w:val="24"/>
          <w:lang w:eastAsia="ar-SA"/>
        </w:rPr>
        <w:t>___________________________________________________________________________</w:t>
      </w:r>
    </w:p>
    <w:p w:rsidR="00F02B20" w:rsidRPr="00F02B20" w:rsidRDefault="00F02B20" w:rsidP="00F02B20">
      <w:pPr>
        <w:suppressAutoHyphens/>
        <w:spacing w:after="0" w:line="240" w:lineRule="auto"/>
        <w:jc w:val="both"/>
        <w:rPr>
          <w:rFonts w:ascii="Times New Roman" w:eastAsia="Times New Roman" w:hAnsi="Times New Roman" w:cs="Times New Roman"/>
          <w:sz w:val="24"/>
          <w:szCs w:val="24"/>
          <w:lang w:eastAsia="ar-SA"/>
        </w:rPr>
      </w:pPr>
    </w:p>
    <w:p w:rsidR="002226FC" w:rsidRPr="002226FC" w:rsidRDefault="002226FC" w:rsidP="002226FC">
      <w:pPr>
        <w:suppressAutoHyphens/>
        <w:spacing w:after="0" w:line="240" w:lineRule="auto"/>
        <w:jc w:val="both"/>
        <w:rPr>
          <w:rFonts w:ascii="Times New Roman" w:eastAsia="Times New Roman" w:hAnsi="Times New Roman" w:cs="Times New Roman"/>
          <w:b/>
          <w:i/>
          <w:sz w:val="24"/>
          <w:szCs w:val="24"/>
          <w:lang w:eastAsia="ar-SA"/>
        </w:rPr>
      </w:pPr>
      <w:r w:rsidRPr="002226FC">
        <w:rPr>
          <w:rFonts w:ascii="Times New Roman" w:eastAsia="Times New Roman" w:hAnsi="Times New Roman" w:cs="Times New Roman"/>
          <w:b/>
          <w:i/>
          <w:sz w:val="24"/>
          <w:szCs w:val="24"/>
          <w:lang w:eastAsia="ar-SA"/>
        </w:rPr>
        <w:t>Schválené uznesením obecného zastupiteľstva č</w:t>
      </w:r>
      <w:r w:rsidR="005F2E05">
        <w:rPr>
          <w:rFonts w:ascii="Times New Roman" w:eastAsia="Times New Roman" w:hAnsi="Times New Roman" w:cs="Times New Roman"/>
          <w:b/>
          <w:i/>
          <w:sz w:val="24"/>
          <w:szCs w:val="24"/>
          <w:lang w:eastAsia="ar-SA"/>
        </w:rPr>
        <w:t>. 2/8/2022</w:t>
      </w:r>
      <w:r w:rsidRPr="002226FC">
        <w:rPr>
          <w:rFonts w:ascii="Times New Roman" w:eastAsia="Times New Roman" w:hAnsi="Times New Roman" w:cs="Times New Roman"/>
          <w:b/>
          <w:i/>
          <w:sz w:val="24"/>
          <w:szCs w:val="24"/>
          <w:lang w:eastAsia="ar-SA"/>
        </w:rPr>
        <w:t xml:space="preserve"> zo dňa </w:t>
      </w:r>
      <w:r w:rsidR="005F2E05">
        <w:rPr>
          <w:rFonts w:ascii="Times New Roman" w:eastAsia="Times New Roman" w:hAnsi="Times New Roman" w:cs="Times New Roman"/>
          <w:b/>
          <w:i/>
          <w:sz w:val="24"/>
          <w:szCs w:val="24"/>
          <w:lang w:eastAsia="ar-SA"/>
        </w:rPr>
        <w:t>15.12.2022</w:t>
      </w:r>
    </w:p>
    <w:p w:rsidR="00F02B20" w:rsidRPr="00F02B20" w:rsidRDefault="00F02B20" w:rsidP="00F02B20">
      <w:pPr>
        <w:suppressAutoHyphens/>
        <w:spacing w:after="0" w:line="240" w:lineRule="auto"/>
        <w:jc w:val="both"/>
        <w:rPr>
          <w:rFonts w:ascii="Times New Roman" w:eastAsia="Times New Roman" w:hAnsi="Times New Roman" w:cs="Times New Roman"/>
          <w:sz w:val="24"/>
          <w:szCs w:val="24"/>
          <w:lang w:eastAsia="ar-SA"/>
        </w:rPr>
      </w:pPr>
    </w:p>
    <w:p w:rsidR="00F02B20" w:rsidRPr="00F02B20" w:rsidRDefault="00F02B20" w:rsidP="00F02B20">
      <w:pPr>
        <w:spacing w:after="0" w:line="240" w:lineRule="auto"/>
        <w:jc w:val="both"/>
        <w:rPr>
          <w:rFonts w:ascii="Times New Roman" w:eastAsia="Times New Roman" w:hAnsi="Times New Roman" w:cs="Times New Roman"/>
          <w:b/>
          <w:bCs/>
          <w:i/>
          <w:iCs/>
          <w:sz w:val="24"/>
          <w:szCs w:val="24"/>
          <w:lang w:eastAsia="sk-SK"/>
        </w:rPr>
      </w:pPr>
      <w:r w:rsidRPr="00F02B20">
        <w:rPr>
          <w:rFonts w:ascii="Times New Roman" w:eastAsia="Times New Roman" w:hAnsi="Times New Roman" w:cs="Times New Roman"/>
          <w:b/>
          <w:bCs/>
          <w:i/>
          <w:iCs/>
          <w:sz w:val="24"/>
          <w:szCs w:val="24"/>
          <w:lang w:eastAsia="sk-SK"/>
        </w:rPr>
        <w:t>Návrh VZN vyvesené na úradnej t</w:t>
      </w:r>
      <w:r w:rsidR="00C93522">
        <w:rPr>
          <w:rFonts w:ascii="Times New Roman" w:eastAsia="Times New Roman" w:hAnsi="Times New Roman" w:cs="Times New Roman"/>
          <w:b/>
          <w:bCs/>
          <w:i/>
          <w:iCs/>
          <w:sz w:val="24"/>
          <w:szCs w:val="24"/>
          <w:lang w:eastAsia="sk-SK"/>
        </w:rPr>
        <w:t xml:space="preserve">abuli v obci </w:t>
      </w:r>
      <w:r w:rsidR="004603CB">
        <w:rPr>
          <w:rFonts w:ascii="Times New Roman" w:eastAsia="Times New Roman" w:hAnsi="Times New Roman" w:cs="Times New Roman"/>
          <w:b/>
          <w:bCs/>
          <w:i/>
          <w:iCs/>
          <w:sz w:val="24"/>
          <w:szCs w:val="24"/>
          <w:lang w:eastAsia="sk-SK"/>
        </w:rPr>
        <w:t>Ploské</w:t>
      </w:r>
      <w:r w:rsidR="00C93522">
        <w:rPr>
          <w:rFonts w:ascii="Times New Roman" w:eastAsia="Times New Roman" w:hAnsi="Times New Roman" w:cs="Times New Roman"/>
          <w:b/>
          <w:bCs/>
          <w:i/>
          <w:iCs/>
          <w:sz w:val="24"/>
          <w:szCs w:val="24"/>
          <w:lang w:eastAsia="sk-SK"/>
        </w:rPr>
        <w:tab/>
      </w:r>
      <w:r w:rsidR="00C93522">
        <w:rPr>
          <w:rFonts w:ascii="Times New Roman" w:eastAsia="Times New Roman" w:hAnsi="Times New Roman" w:cs="Times New Roman"/>
          <w:b/>
          <w:bCs/>
          <w:i/>
          <w:iCs/>
          <w:sz w:val="24"/>
          <w:szCs w:val="24"/>
          <w:lang w:eastAsia="sk-SK"/>
        </w:rPr>
        <w:tab/>
        <w:t xml:space="preserve">dňa: </w:t>
      </w:r>
      <w:r w:rsidR="004603CB">
        <w:rPr>
          <w:rFonts w:ascii="Times New Roman" w:eastAsia="Times New Roman" w:hAnsi="Times New Roman" w:cs="Times New Roman"/>
          <w:b/>
          <w:bCs/>
          <w:i/>
          <w:iCs/>
          <w:sz w:val="24"/>
          <w:szCs w:val="24"/>
          <w:lang w:eastAsia="sk-SK"/>
        </w:rPr>
        <w:t xml:space="preserve">   </w:t>
      </w:r>
      <w:r w:rsidR="007E6A38">
        <w:rPr>
          <w:rFonts w:ascii="Times New Roman" w:eastAsia="Times New Roman" w:hAnsi="Times New Roman" w:cs="Times New Roman"/>
          <w:b/>
          <w:bCs/>
          <w:i/>
          <w:iCs/>
          <w:sz w:val="24"/>
          <w:szCs w:val="24"/>
          <w:lang w:eastAsia="sk-SK"/>
        </w:rPr>
        <w:t>30</w:t>
      </w:r>
      <w:r w:rsidR="004603CB">
        <w:rPr>
          <w:rFonts w:ascii="Times New Roman" w:eastAsia="Times New Roman" w:hAnsi="Times New Roman" w:cs="Times New Roman"/>
          <w:b/>
          <w:bCs/>
          <w:i/>
          <w:iCs/>
          <w:sz w:val="24"/>
          <w:szCs w:val="24"/>
          <w:lang w:eastAsia="sk-SK"/>
        </w:rPr>
        <w:t xml:space="preserve"> .</w:t>
      </w:r>
      <w:r w:rsidR="007E6A38">
        <w:rPr>
          <w:rFonts w:ascii="Times New Roman" w:eastAsia="Times New Roman" w:hAnsi="Times New Roman" w:cs="Times New Roman"/>
          <w:b/>
          <w:bCs/>
          <w:i/>
          <w:iCs/>
          <w:sz w:val="24"/>
          <w:szCs w:val="24"/>
          <w:lang w:eastAsia="sk-SK"/>
        </w:rPr>
        <w:t>11</w:t>
      </w:r>
      <w:r w:rsidR="004603CB">
        <w:rPr>
          <w:rFonts w:ascii="Times New Roman" w:eastAsia="Times New Roman" w:hAnsi="Times New Roman" w:cs="Times New Roman"/>
          <w:b/>
          <w:bCs/>
          <w:i/>
          <w:iCs/>
          <w:sz w:val="24"/>
          <w:szCs w:val="24"/>
          <w:lang w:eastAsia="sk-SK"/>
        </w:rPr>
        <w:t>.2022</w:t>
      </w:r>
    </w:p>
    <w:p w:rsidR="00F02B20" w:rsidRDefault="00F02B20" w:rsidP="00F02B20">
      <w:pPr>
        <w:spacing w:after="0" w:line="240" w:lineRule="auto"/>
        <w:jc w:val="both"/>
        <w:rPr>
          <w:rFonts w:ascii="Times New Roman" w:eastAsia="Times New Roman" w:hAnsi="Times New Roman" w:cs="Times New Roman"/>
          <w:b/>
          <w:bCs/>
          <w:i/>
          <w:iCs/>
          <w:sz w:val="24"/>
          <w:szCs w:val="24"/>
          <w:lang w:eastAsia="sk-SK"/>
        </w:rPr>
      </w:pPr>
      <w:r w:rsidRPr="00F02B20">
        <w:rPr>
          <w:rFonts w:ascii="Times New Roman" w:eastAsia="Times New Roman" w:hAnsi="Times New Roman" w:cs="Times New Roman"/>
          <w:b/>
          <w:bCs/>
          <w:i/>
          <w:iCs/>
          <w:sz w:val="24"/>
          <w:szCs w:val="24"/>
          <w:lang w:eastAsia="sk-SK"/>
        </w:rPr>
        <w:t xml:space="preserve">Návrh VZN zvesené z úradnej tabuli v obci </w:t>
      </w:r>
      <w:r w:rsidR="004603CB">
        <w:rPr>
          <w:rFonts w:ascii="Times New Roman" w:eastAsia="Times New Roman" w:hAnsi="Times New Roman" w:cs="Times New Roman"/>
          <w:b/>
          <w:bCs/>
          <w:i/>
          <w:iCs/>
          <w:sz w:val="24"/>
          <w:szCs w:val="24"/>
          <w:lang w:eastAsia="sk-SK"/>
        </w:rPr>
        <w:t xml:space="preserve">Ploské </w:t>
      </w:r>
      <w:r w:rsidRPr="00F02B20">
        <w:rPr>
          <w:rFonts w:ascii="Times New Roman" w:eastAsia="Times New Roman" w:hAnsi="Times New Roman" w:cs="Times New Roman"/>
          <w:b/>
          <w:bCs/>
          <w:i/>
          <w:iCs/>
          <w:sz w:val="24"/>
          <w:szCs w:val="24"/>
          <w:lang w:eastAsia="sk-SK"/>
        </w:rPr>
        <w:tab/>
      </w:r>
      <w:r w:rsidRPr="00F02B20">
        <w:rPr>
          <w:rFonts w:ascii="Times New Roman" w:eastAsia="Times New Roman" w:hAnsi="Times New Roman" w:cs="Times New Roman"/>
          <w:b/>
          <w:bCs/>
          <w:i/>
          <w:iCs/>
          <w:sz w:val="24"/>
          <w:szCs w:val="24"/>
          <w:lang w:eastAsia="sk-SK"/>
        </w:rPr>
        <w:tab/>
        <w:t xml:space="preserve">dňa: </w:t>
      </w:r>
      <w:r w:rsidR="005F2E05">
        <w:rPr>
          <w:rFonts w:ascii="Times New Roman" w:eastAsia="Times New Roman" w:hAnsi="Times New Roman" w:cs="Times New Roman"/>
          <w:b/>
          <w:bCs/>
          <w:i/>
          <w:iCs/>
          <w:sz w:val="24"/>
          <w:szCs w:val="24"/>
          <w:lang w:eastAsia="sk-SK"/>
        </w:rPr>
        <w:t xml:space="preserve">   15.12.2022</w:t>
      </w:r>
    </w:p>
    <w:p w:rsidR="00D74DC9" w:rsidRPr="00F02B20" w:rsidRDefault="00D74DC9" w:rsidP="00F02B20">
      <w:pPr>
        <w:spacing w:after="0" w:line="240" w:lineRule="auto"/>
        <w:jc w:val="both"/>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 xml:space="preserve">VZN vyvesené na úradnej tabuli v obci </w:t>
      </w:r>
      <w:r w:rsidR="004603CB">
        <w:rPr>
          <w:rFonts w:ascii="Times New Roman" w:eastAsia="Times New Roman" w:hAnsi="Times New Roman" w:cs="Times New Roman"/>
          <w:b/>
          <w:bCs/>
          <w:i/>
          <w:iCs/>
          <w:sz w:val="24"/>
          <w:szCs w:val="24"/>
          <w:lang w:eastAsia="sk-SK"/>
        </w:rPr>
        <w:t>Ploské</w:t>
      </w:r>
      <w:r>
        <w:rPr>
          <w:rFonts w:ascii="Times New Roman" w:eastAsia="Times New Roman" w:hAnsi="Times New Roman" w:cs="Times New Roman"/>
          <w:b/>
          <w:bCs/>
          <w:i/>
          <w:iCs/>
          <w:sz w:val="24"/>
          <w:szCs w:val="24"/>
          <w:lang w:eastAsia="sk-SK"/>
        </w:rPr>
        <w:tab/>
      </w:r>
      <w:r>
        <w:rPr>
          <w:rFonts w:ascii="Times New Roman" w:eastAsia="Times New Roman" w:hAnsi="Times New Roman" w:cs="Times New Roman"/>
          <w:b/>
          <w:bCs/>
          <w:i/>
          <w:iCs/>
          <w:sz w:val="24"/>
          <w:szCs w:val="24"/>
          <w:lang w:eastAsia="sk-SK"/>
        </w:rPr>
        <w:tab/>
      </w:r>
      <w:r>
        <w:rPr>
          <w:rFonts w:ascii="Times New Roman" w:eastAsia="Times New Roman" w:hAnsi="Times New Roman" w:cs="Times New Roman"/>
          <w:b/>
          <w:bCs/>
          <w:i/>
          <w:iCs/>
          <w:sz w:val="24"/>
          <w:szCs w:val="24"/>
          <w:lang w:eastAsia="sk-SK"/>
        </w:rPr>
        <w:tab/>
      </w:r>
      <w:r w:rsidRPr="00F02B20">
        <w:rPr>
          <w:rFonts w:ascii="Times New Roman" w:eastAsia="Times New Roman" w:hAnsi="Times New Roman" w:cs="Times New Roman"/>
          <w:b/>
          <w:bCs/>
          <w:i/>
          <w:iCs/>
          <w:sz w:val="24"/>
          <w:szCs w:val="24"/>
          <w:lang w:eastAsia="sk-SK"/>
        </w:rPr>
        <w:t xml:space="preserve">dňa: </w:t>
      </w:r>
      <w:r w:rsidR="005F2E05">
        <w:rPr>
          <w:rFonts w:ascii="Times New Roman" w:eastAsia="Times New Roman" w:hAnsi="Times New Roman" w:cs="Times New Roman"/>
          <w:b/>
          <w:bCs/>
          <w:i/>
          <w:iCs/>
          <w:sz w:val="24"/>
          <w:szCs w:val="24"/>
          <w:lang w:eastAsia="sk-SK"/>
        </w:rPr>
        <w:t xml:space="preserve">   16.12.2022</w:t>
      </w:r>
    </w:p>
    <w:p w:rsidR="00F02B20" w:rsidRPr="00F02B20" w:rsidRDefault="00F02B20" w:rsidP="00F02B20">
      <w:pPr>
        <w:spacing w:after="0" w:line="240" w:lineRule="auto"/>
        <w:jc w:val="both"/>
        <w:rPr>
          <w:rFonts w:ascii="Times New Roman" w:eastAsia="Times New Roman" w:hAnsi="Times New Roman" w:cs="Times New Roman"/>
          <w:b/>
          <w:bCs/>
          <w:i/>
          <w:iCs/>
          <w:sz w:val="24"/>
          <w:szCs w:val="24"/>
          <w:lang w:eastAsia="sk-SK"/>
        </w:rPr>
      </w:pPr>
      <w:r w:rsidRPr="00F02B20">
        <w:rPr>
          <w:rFonts w:ascii="Times New Roman" w:eastAsia="Times New Roman" w:hAnsi="Times New Roman" w:cs="Times New Roman"/>
          <w:b/>
          <w:bCs/>
          <w:i/>
          <w:iCs/>
          <w:sz w:val="24"/>
          <w:szCs w:val="24"/>
          <w:lang w:eastAsia="sk-SK"/>
        </w:rPr>
        <w:t xml:space="preserve">VZN nadobúda účinnosť </w:t>
      </w:r>
      <w:r w:rsidRPr="00F02B20">
        <w:rPr>
          <w:rFonts w:ascii="Times New Roman" w:eastAsia="Times New Roman" w:hAnsi="Times New Roman" w:cs="Times New Roman"/>
          <w:b/>
          <w:bCs/>
          <w:i/>
          <w:iCs/>
          <w:sz w:val="24"/>
          <w:szCs w:val="24"/>
          <w:lang w:eastAsia="sk-SK"/>
        </w:rPr>
        <w:tab/>
      </w:r>
      <w:r w:rsidRPr="00F02B20">
        <w:rPr>
          <w:rFonts w:ascii="Times New Roman" w:eastAsia="Times New Roman" w:hAnsi="Times New Roman" w:cs="Times New Roman"/>
          <w:b/>
          <w:bCs/>
          <w:i/>
          <w:iCs/>
          <w:sz w:val="24"/>
          <w:szCs w:val="24"/>
          <w:lang w:eastAsia="sk-SK"/>
        </w:rPr>
        <w:tab/>
      </w:r>
      <w:r w:rsidRPr="00F02B20">
        <w:rPr>
          <w:rFonts w:ascii="Times New Roman" w:eastAsia="Times New Roman" w:hAnsi="Times New Roman" w:cs="Times New Roman"/>
          <w:b/>
          <w:bCs/>
          <w:i/>
          <w:iCs/>
          <w:sz w:val="24"/>
          <w:szCs w:val="24"/>
          <w:lang w:eastAsia="sk-SK"/>
        </w:rPr>
        <w:tab/>
      </w:r>
      <w:r w:rsidRPr="00F02B20">
        <w:rPr>
          <w:rFonts w:ascii="Times New Roman" w:eastAsia="Times New Roman" w:hAnsi="Times New Roman" w:cs="Times New Roman"/>
          <w:b/>
          <w:bCs/>
          <w:i/>
          <w:iCs/>
          <w:sz w:val="24"/>
          <w:szCs w:val="24"/>
          <w:lang w:eastAsia="sk-SK"/>
        </w:rPr>
        <w:tab/>
      </w:r>
      <w:r w:rsidRPr="00F02B20">
        <w:rPr>
          <w:rFonts w:ascii="Times New Roman" w:eastAsia="Times New Roman" w:hAnsi="Times New Roman" w:cs="Times New Roman"/>
          <w:b/>
          <w:bCs/>
          <w:i/>
          <w:iCs/>
          <w:sz w:val="24"/>
          <w:szCs w:val="24"/>
          <w:lang w:eastAsia="sk-SK"/>
        </w:rPr>
        <w:tab/>
      </w:r>
      <w:r w:rsidRPr="00F02B20">
        <w:rPr>
          <w:rFonts w:ascii="Times New Roman" w:eastAsia="Times New Roman" w:hAnsi="Times New Roman" w:cs="Times New Roman"/>
          <w:b/>
          <w:bCs/>
          <w:i/>
          <w:iCs/>
          <w:sz w:val="24"/>
          <w:szCs w:val="24"/>
          <w:lang w:eastAsia="sk-SK"/>
        </w:rPr>
        <w:tab/>
      </w:r>
      <w:r w:rsidR="004603CB">
        <w:rPr>
          <w:rFonts w:ascii="Times New Roman" w:eastAsia="Times New Roman" w:hAnsi="Times New Roman" w:cs="Times New Roman"/>
          <w:b/>
          <w:bCs/>
          <w:i/>
          <w:iCs/>
          <w:sz w:val="24"/>
          <w:szCs w:val="24"/>
          <w:lang w:eastAsia="sk-SK"/>
        </w:rPr>
        <w:t>d</w:t>
      </w:r>
      <w:r w:rsidRPr="00F02B20">
        <w:rPr>
          <w:rFonts w:ascii="Times New Roman" w:eastAsia="Times New Roman" w:hAnsi="Times New Roman" w:cs="Times New Roman"/>
          <w:b/>
          <w:bCs/>
          <w:i/>
          <w:iCs/>
          <w:sz w:val="24"/>
          <w:szCs w:val="24"/>
          <w:lang w:eastAsia="sk-SK"/>
        </w:rPr>
        <w:t>ňa:</w:t>
      </w:r>
      <w:r w:rsidR="005F2E05">
        <w:rPr>
          <w:rFonts w:ascii="Times New Roman" w:eastAsia="Times New Roman" w:hAnsi="Times New Roman" w:cs="Times New Roman"/>
          <w:b/>
          <w:bCs/>
          <w:i/>
          <w:iCs/>
          <w:sz w:val="24"/>
          <w:szCs w:val="24"/>
          <w:lang w:eastAsia="sk-SK"/>
        </w:rPr>
        <w:t xml:space="preserve">   </w:t>
      </w:r>
      <w:r w:rsidRPr="00F02B20">
        <w:rPr>
          <w:rFonts w:ascii="Times New Roman" w:eastAsia="Times New Roman" w:hAnsi="Times New Roman" w:cs="Times New Roman"/>
          <w:b/>
          <w:bCs/>
          <w:i/>
          <w:iCs/>
          <w:sz w:val="24"/>
          <w:szCs w:val="24"/>
          <w:lang w:eastAsia="sk-SK"/>
        </w:rPr>
        <w:t xml:space="preserve"> </w:t>
      </w:r>
      <w:r w:rsidR="00D74DC9">
        <w:rPr>
          <w:rFonts w:ascii="Times New Roman" w:eastAsia="Times New Roman" w:hAnsi="Times New Roman" w:cs="Times New Roman"/>
          <w:b/>
          <w:bCs/>
          <w:i/>
          <w:iCs/>
          <w:sz w:val="24"/>
          <w:szCs w:val="24"/>
          <w:lang w:eastAsia="sk-SK"/>
        </w:rPr>
        <w:t>01.01.</w:t>
      </w:r>
      <w:r w:rsidR="004603CB">
        <w:rPr>
          <w:rFonts w:ascii="Times New Roman" w:eastAsia="Times New Roman" w:hAnsi="Times New Roman" w:cs="Times New Roman"/>
          <w:b/>
          <w:bCs/>
          <w:i/>
          <w:iCs/>
          <w:sz w:val="24"/>
          <w:szCs w:val="24"/>
          <w:lang w:eastAsia="sk-SK"/>
        </w:rPr>
        <w:t>2023</w:t>
      </w:r>
    </w:p>
    <w:p w:rsidR="00690956" w:rsidRPr="00B11AC2" w:rsidRDefault="00690956" w:rsidP="00A83CAE">
      <w:pPr>
        <w:pStyle w:val="Normlnywebov"/>
        <w:spacing w:before="0" w:beforeAutospacing="0" w:after="0"/>
        <w:jc w:val="both"/>
        <w:rPr>
          <w:b/>
          <w:bCs/>
          <w:i/>
          <w:iCs/>
          <w:sz w:val="22"/>
          <w:szCs w:val="22"/>
        </w:rPr>
      </w:pPr>
      <w:r w:rsidRPr="00B11AC2">
        <w:rPr>
          <w:b/>
          <w:bCs/>
          <w:i/>
          <w:iCs/>
          <w:sz w:val="22"/>
          <w:szCs w:val="22"/>
        </w:rPr>
        <w:lastRenderedPageBreak/>
        <w:t xml:space="preserve">Obecné zastupiteľstvo </w:t>
      </w:r>
      <w:r w:rsidR="00D74DC9">
        <w:rPr>
          <w:b/>
          <w:bCs/>
          <w:i/>
          <w:iCs/>
          <w:sz w:val="22"/>
          <w:szCs w:val="22"/>
        </w:rPr>
        <w:t xml:space="preserve">obce </w:t>
      </w:r>
      <w:r w:rsidR="004603CB">
        <w:rPr>
          <w:b/>
          <w:bCs/>
          <w:i/>
          <w:iCs/>
          <w:sz w:val="22"/>
          <w:szCs w:val="22"/>
        </w:rPr>
        <w:t>Ploské</w:t>
      </w:r>
      <w:r w:rsidR="00D74DC9">
        <w:rPr>
          <w:b/>
          <w:bCs/>
          <w:i/>
          <w:iCs/>
          <w:sz w:val="22"/>
          <w:szCs w:val="22"/>
        </w:rPr>
        <w:t xml:space="preserve"> </w:t>
      </w:r>
      <w:r w:rsidRPr="00B11AC2">
        <w:rPr>
          <w:b/>
          <w:bCs/>
          <w:i/>
          <w:iCs/>
          <w:sz w:val="22"/>
          <w:szCs w:val="22"/>
        </w:rPr>
        <w:t>na základe § 6</w:t>
      </w:r>
      <w:r w:rsidR="00D74DC9">
        <w:rPr>
          <w:b/>
          <w:bCs/>
          <w:i/>
          <w:iCs/>
          <w:sz w:val="22"/>
          <w:szCs w:val="22"/>
        </w:rPr>
        <w:t xml:space="preserve"> ods. 1 zákona </w:t>
      </w:r>
      <w:r w:rsidRPr="00B11AC2">
        <w:rPr>
          <w:b/>
          <w:bCs/>
          <w:i/>
          <w:iCs/>
          <w:sz w:val="22"/>
          <w:szCs w:val="22"/>
        </w:rPr>
        <w:t>č. 369/1990 Zb. o obecnom zriadení v znení neskorších predpisov</w:t>
      </w:r>
      <w:r w:rsidR="00D74DC9">
        <w:rPr>
          <w:b/>
          <w:bCs/>
          <w:i/>
          <w:iCs/>
          <w:sz w:val="22"/>
          <w:szCs w:val="22"/>
        </w:rPr>
        <w:t xml:space="preserve"> v spojení ustanovení § 98 zákona NR SR</w:t>
      </w:r>
      <w:r w:rsidRPr="00B11AC2">
        <w:rPr>
          <w:b/>
          <w:bCs/>
          <w:i/>
          <w:iCs/>
          <w:sz w:val="22"/>
          <w:szCs w:val="22"/>
        </w:rPr>
        <w:t xml:space="preserve"> č. 582/2004 Z. z. </w:t>
      </w:r>
      <w:r w:rsidR="00D74DC9">
        <w:rPr>
          <w:b/>
          <w:bCs/>
          <w:i/>
          <w:iCs/>
          <w:sz w:val="22"/>
          <w:szCs w:val="22"/>
        </w:rPr>
        <w:t xml:space="preserve">     </w:t>
      </w:r>
      <w:r w:rsidRPr="00B11AC2">
        <w:rPr>
          <w:b/>
          <w:bCs/>
          <w:i/>
          <w:iCs/>
          <w:sz w:val="22"/>
          <w:szCs w:val="22"/>
        </w:rPr>
        <w:t>o miestnych daniach a miestnom poplatku za komunálne odpady a drobné stavebné odpady</w:t>
      </w:r>
      <w:r w:rsidR="00D74DC9">
        <w:rPr>
          <w:b/>
          <w:bCs/>
          <w:i/>
          <w:iCs/>
          <w:sz w:val="22"/>
          <w:szCs w:val="22"/>
        </w:rPr>
        <w:t xml:space="preserve"> v znení neskorších predpisov </w:t>
      </w:r>
      <w:r w:rsidR="00A83CAE">
        <w:rPr>
          <w:b/>
          <w:bCs/>
          <w:i/>
          <w:iCs/>
          <w:sz w:val="22"/>
          <w:szCs w:val="22"/>
        </w:rPr>
        <w:t xml:space="preserve"> </w:t>
      </w:r>
      <w:r w:rsidR="00D74DC9">
        <w:rPr>
          <w:b/>
          <w:bCs/>
          <w:i/>
          <w:iCs/>
          <w:sz w:val="22"/>
          <w:szCs w:val="22"/>
        </w:rPr>
        <w:t xml:space="preserve"> </w:t>
      </w:r>
      <w:r w:rsidRPr="00B11AC2">
        <w:rPr>
          <w:b/>
          <w:bCs/>
          <w:i/>
          <w:iCs/>
          <w:sz w:val="22"/>
          <w:szCs w:val="22"/>
        </w:rPr>
        <w:t xml:space="preserve">v y d á v a </w:t>
      </w:r>
      <w:r w:rsidR="00D74DC9">
        <w:rPr>
          <w:b/>
          <w:bCs/>
          <w:i/>
          <w:iCs/>
          <w:sz w:val="22"/>
          <w:szCs w:val="22"/>
        </w:rPr>
        <w:t xml:space="preserve">  </w:t>
      </w:r>
      <w:r w:rsidRPr="00B11AC2">
        <w:rPr>
          <w:b/>
          <w:bCs/>
          <w:i/>
          <w:iCs/>
          <w:sz w:val="22"/>
          <w:szCs w:val="22"/>
        </w:rPr>
        <w:t xml:space="preserve">pre územie obce </w:t>
      </w:r>
      <w:r w:rsidR="004603CB">
        <w:rPr>
          <w:b/>
          <w:bCs/>
          <w:i/>
          <w:iCs/>
          <w:sz w:val="22"/>
          <w:szCs w:val="22"/>
        </w:rPr>
        <w:t>Ploské</w:t>
      </w:r>
    </w:p>
    <w:p w:rsidR="00F02B20" w:rsidRPr="00B11AC2" w:rsidRDefault="00F02B20" w:rsidP="00690956">
      <w:pPr>
        <w:pStyle w:val="Normlnywebov"/>
        <w:pBdr>
          <w:bottom w:val="single" w:sz="6" w:space="1" w:color="auto"/>
        </w:pBdr>
        <w:spacing w:before="0" w:beforeAutospacing="0" w:after="0"/>
        <w:jc w:val="both"/>
        <w:rPr>
          <w:b/>
          <w:bCs/>
          <w:i/>
          <w:iCs/>
          <w:sz w:val="22"/>
          <w:szCs w:val="22"/>
        </w:rPr>
      </w:pPr>
    </w:p>
    <w:p w:rsidR="00690956" w:rsidRPr="008A0E7F" w:rsidRDefault="00690956" w:rsidP="00690956">
      <w:pPr>
        <w:pStyle w:val="Normlnywebov"/>
        <w:spacing w:before="0" w:beforeAutospacing="0" w:after="0"/>
        <w:jc w:val="both"/>
      </w:pPr>
    </w:p>
    <w:p w:rsidR="00B11AC2" w:rsidRDefault="00B11AC2" w:rsidP="00690956">
      <w:pPr>
        <w:pStyle w:val="Normlnywebov"/>
        <w:spacing w:before="0" w:beforeAutospacing="0" w:after="0"/>
        <w:jc w:val="both"/>
      </w:pPr>
    </w:p>
    <w:p w:rsidR="008A0E7F" w:rsidRPr="008A0E7F" w:rsidRDefault="008A0E7F" w:rsidP="00690956">
      <w:pPr>
        <w:pStyle w:val="Normlnywebov"/>
        <w:spacing w:before="0" w:beforeAutospacing="0" w:after="0"/>
        <w:jc w:val="both"/>
      </w:pPr>
    </w:p>
    <w:p w:rsidR="00FD75EB" w:rsidRPr="008A0E7F" w:rsidRDefault="00FD75EB" w:rsidP="00690956">
      <w:pPr>
        <w:pStyle w:val="Normlnywebov"/>
        <w:spacing w:before="0" w:beforeAutospacing="0" w:after="0"/>
        <w:jc w:val="center"/>
        <w:rPr>
          <w:b/>
          <w:bCs/>
          <w:iCs/>
        </w:rPr>
      </w:pPr>
      <w:r w:rsidRPr="008A0E7F">
        <w:rPr>
          <w:b/>
          <w:bCs/>
          <w:iCs/>
        </w:rPr>
        <w:t>ČASŤ PRVÁ</w:t>
      </w:r>
    </w:p>
    <w:p w:rsidR="00690956" w:rsidRPr="008A0E7F" w:rsidRDefault="00690956" w:rsidP="00690956">
      <w:pPr>
        <w:pStyle w:val="Normlnywebov"/>
        <w:spacing w:before="0" w:beforeAutospacing="0" w:after="0"/>
        <w:jc w:val="center"/>
      </w:pPr>
      <w:r w:rsidRPr="008A0E7F">
        <w:rPr>
          <w:b/>
          <w:bCs/>
          <w:iCs/>
        </w:rPr>
        <w:t>Úvodné ustanovenia</w:t>
      </w:r>
    </w:p>
    <w:p w:rsidR="00690956" w:rsidRPr="008A0E7F" w:rsidRDefault="00690956" w:rsidP="00690956">
      <w:pPr>
        <w:pStyle w:val="Normlnywebov"/>
        <w:spacing w:before="0" w:beforeAutospacing="0" w:after="0"/>
        <w:jc w:val="center"/>
        <w:rPr>
          <w:b/>
          <w:bCs/>
          <w:i/>
          <w:iCs/>
        </w:rPr>
      </w:pPr>
    </w:p>
    <w:p w:rsidR="00690956" w:rsidRPr="008A0E7F" w:rsidRDefault="00FD75EB" w:rsidP="00690956">
      <w:pPr>
        <w:pStyle w:val="Normlnywebov"/>
        <w:spacing w:before="0" w:beforeAutospacing="0" w:after="0"/>
        <w:jc w:val="center"/>
        <w:rPr>
          <w:b/>
          <w:bCs/>
          <w:iCs/>
        </w:rPr>
      </w:pPr>
      <w:r w:rsidRPr="008A0E7F">
        <w:rPr>
          <w:b/>
          <w:bCs/>
          <w:iCs/>
        </w:rPr>
        <w:t>§ 1</w:t>
      </w:r>
    </w:p>
    <w:p w:rsidR="00B11AC2" w:rsidRPr="00523341" w:rsidRDefault="00FD75EB" w:rsidP="00690956">
      <w:pPr>
        <w:pStyle w:val="Normlnywebov"/>
        <w:spacing w:before="0" w:beforeAutospacing="0" w:after="0"/>
        <w:jc w:val="center"/>
        <w:rPr>
          <w:b/>
          <w:bCs/>
          <w:i/>
          <w:iCs/>
        </w:rPr>
      </w:pPr>
      <w:r w:rsidRPr="00523341">
        <w:rPr>
          <w:b/>
          <w:bCs/>
          <w:iCs/>
        </w:rPr>
        <w:t>Základné ustanovenia</w:t>
      </w:r>
    </w:p>
    <w:p w:rsidR="00690956" w:rsidRPr="00523341" w:rsidRDefault="00690956" w:rsidP="00690956">
      <w:pPr>
        <w:pStyle w:val="Normlnywebov"/>
        <w:spacing w:before="0" w:beforeAutospacing="0" w:after="0"/>
        <w:jc w:val="center"/>
      </w:pPr>
    </w:p>
    <w:p w:rsidR="00690956" w:rsidRPr="00523341" w:rsidRDefault="00690956" w:rsidP="00690956">
      <w:pPr>
        <w:pStyle w:val="Normlnywebov"/>
        <w:numPr>
          <w:ilvl w:val="0"/>
          <w:numId w:val="2"/>
        </w:numPr>
        <w:spacing w:before="0" w:beforeAutospacing="0" w:after="0"/>
        <w:ind w:left="426" w:hanging="426"/>
        <w:jc w:val="both"/>
      </w:pPr>
      <w:r w:rsidRPr="00523341">
        <w:t xml:space="preserve">Toto všeobecne záväzné nariadenie (ďalej len „VZN“) upravuje podrobne podmienky ukladania </w:t>
      </w:r>
      <w:r w:rsidR="003B4892" w:rsidRPr="00523341">
        <w:t>miestnej dane</w:t>
      </w:r>
      <w:r w:rsidRPr="00523341">
        <w:t xml:space="preserve"> </w:t>
      </w:r>
      <w:r w:rsidR="00933F2C" w:rsidRPr="00523341">
        <w:t xml:space="preserve">z nehnuteľností </w:t>
      </w:r>
      <w:r w:rsidRPr="00523341">
        <w:t xml:space="preserve">na území obce </w:t>
      </w:r>
      <w:r w:rsidR="004603CB" w:rsidRPr="00523341">
        <w:t>Ploské</w:t>
      </w:r>
      <w:r w:rsidRPr="00523341">
        <w:t>.</w:t>
      </w:r>
    </w:p>
    <w:p w:rsidR="003B4892" w:rsidRPr="00523341" w:rsidRDefault="003B4892" w:rsidP="003B4892">
      <w:pPr>
        <w:pStyle w:val="Normlnywebov"/>
        <w:spacing w:before="0" w:beforeAutospacing="0" w:after="0"/>
        <w:ind w:left="426"/>
        <w:jc w:val="both"/>
      </w:pPr>
    </w:p>
    <w:p w:rsidR="003B4892" w:rsidRPr="00523341" w:rsidRDefault="003B4892" w:rsidP="00690956">
      <w:pPr>
        <w:pStyle w:val="Normlnywebov"/>
        <w:numPr>
          <w:ilvl w:val="0"/>
          <w:numId w:val="2"/>
        </w:numPr>
        <w:spacing w:before="0" w:beforeAutospacing="0" w:after="0"/>
        <w:ind w:left="426" w:hanging="426"/>
        <w:jc w:val="both"/>
      </w:pPr>
      <w:r w:rsidRPr="00523341">
        <w:t xml:space="preserve">Obec </w:t>
      </w:r>
      <w:r w:rsidR="004603CB" w:rsidRPr="00523341">
        <w:t>Ploské</w:t>
      </w:r>
      <w:r w:rsidRPr="00523341">
        <w:t xml:space="preserve"> ukladá </w:t>
      </w:r>
      <w:r w:rsidR="00EC0DAF" w:rsidRPr="00523341">
        <w:t>s účinnosťou od 1.1.</w:t>
      </w:r>
      <w:r w:rsidR="004603CB" w:rsidRPr="00523341">
        <w:t>2023</w:t>
      </w:r>
      <w:r w:rsidR="00EC0DAF" w:rsidRPr="00523341">
        <w:t xml:space="preserve"> </w:t>
      </w:r>
      <w:r w:rsidRPr="00523341">
        <w:t>na svojom území miestnu daň z nehnuteľností.</w:t>
      </w:r>
    </w:p>
    <w:p w:rsidR="00690956" w:rsidRPr="00523341" w:rsidRDefault="00690956" w:rsidP="00690956">
      <w:pPr>
        <w:pStyle w:val="Normlnywebov"/>
        <w:spacing w:before="0" w:beforeAutospacing="0" w:after="0"/>
        <w:ind w:left="426"/>
        <w:jc w:val="both"/>
      </w:pPr>
    </w:p>
    <w:p w:rsidR="00690956" w:rsidRPr="00523341" w:rsidRDefault="00690956" w:rsidP="00690956">
      <w:pPr>
        <w:pStyle w:val="Normlnywebov"/>
        <w:numPr>
          <w:ilvl w:val="0"/>
          <w:numId w:val="2"/>
        </w:numPr>
        <w:spacing w:before="0" w:beforeAutospacing="0" w:after="0"/>
        <w:ind w:left="426" w:hanging="426"/>
        <w:jc w:val="both"/>
      </w:pPr>
      <w:r w:rsidRPr="00523341">
        <w:t xml:space="preserve">Zdaňovacím obdobím </w:t>
      </w:r>
      <w:r w:rsidR="003B4892" w:rsidRPr="00523341">
        <w:t xml:space="preserve">miestnej </w:t>
      </w:r>
      <w:r w:rsidR="00B11AC2" w:rsidRPr="00523341">
        <w:t xml:space="preserve">dane z nehnuteľností </w:t>
      </w:r>
      <w:r w:rsidRPr="00523341">
        <w:t>je kalendárny rok.</w:t>
      </w:r>
    </w:p>
    <w:p w:rsidR="00690956" w:rsidRPr="00523341" w:rsidRDefault="00690956" w:rsidP="00690956">
      <w:pPr>
        <w:pStyle w:val="Normlnywebov"/>
        <w:spacing w:before="0" w:beforeAutospacing="0" w:after="0"/>
        <w:jc w:val="both"/>
        <w:rPr>
          <w:b/>
          <w:bCs/>
        </w:rPr>
      </w:pPr>
    </w:p>
    <w:p w:rsidR="008A0E7F" w:rsidRPr="00523341" w:rsidRDefault="008A0E7F" w:rsidP="00690956">
      <w:pPr>
        <w:pStyle w:val="Normlnywebov"/>
        <w:spacing w:before="0" w:beforeAutospacing="0" w:after="0"/>
        <w:jc w:val="both"/>
        <w:rPr>
          <w:b/>
          <w:bCs/>
        </w:rPr>
      </w:pPr>
    </w:p>
    <w:p w:rsidR="00690956" w:rsidRPr="00523341" w:rsidRDefault="00FD75EB" w:rsidP="00690956">
      <w:pPr>
        <w:pStyle w:val="Normlnywebov"/>
        <w:spacing w:before="0" w:beforeAutospacing="0" w:after="0"/>
        <w:jc w:val="center"/>
        <w:rPr>
          <w:b/>
          <w:bCs/>
        </w:rPr>
      </w:pPr>
      <w:r w:rsidRPr="00523341">
        <w:rPr>
          <w:b/>
          <w:bCs/>
        </w:rPr>
        <w:t>§ 2</w:t>
      </w:r>
    </w:p>
    <w:p w:rsidR="00FD75EB" w:rsidRPr="00523341" w:rsidRDefault="00FD75EB" w:rsidP="00690956">
      <w:pPr>
        <w:pStyle w:val="Normlnywebov"/>
        <w:spacing w:before="0" w:beforeAutospacing="0" w:after="0"/>
        <w:jc w:val="center"/>
        <w:rPr>
          <w:b/>
          <w:bCs/>
        </w:rPr>
      </w:pPr>
      <w:r w:rsidRPr="00523341">
        <w:rPr>
          <w:b/>
          <w:bCs/>
        </w:rPr>
        <w:t>Predmet úpravy VZN</w:t>
      </w:r>
    </w:p>
    <w:p w:rsidR="00FD75EB" w:rsidRPr="00523341" w:rsidRDefault="00FD75EB" w:rsidP="00690956">
      <w:pPr>
        <w:pStyle w:val="Normlnywebov"/>
        <w:spacing w:before="0" w:beforeAutospacing="0" w:after="0"/>
        <w:jc w:val="center"/>
        <w:rPr>
          <w:i/>
        </w:rPr>
      </w:pPr>
    </w:p>
    <w:p w:rsidR="00690956" w:rsidRPr="00523341" w:rsidRDefault="00FD75EB" w:rsidP="00FD75EB">
      <w:pPr>
        <w:pStyle w:val="Normlnywebov"/>
        <w:spacing w:before="0" w:beforeAutospacing="0" w:after="0"/>
        <w:jc w:val="both"/>
      </w:pPr>
      <w:r w:rsidRPr="00523341">
        <w:rPr>
          <w:b/>
          <w:bCs/>
        </w:rPr>
        <w:t>Predmetom tohto VZN je určenie náležitostí miestnej dane z nehnuteľností, ktorá zahŕňa:</w:t>
      </w:r>
    </w:p>
    <w:p w:rsidR="00FD75EB" w:rsidRPr="00523341" w:rsidRDefault="00FD75EB" w:rsidP="00FD75EB">
      <w:pPr>
        <w:pStyle w:val="Normlnywebov"/>
        <w:numPr>
          <w:ilvl w:val="0"/>
          <w:numId w:val="3"/>
        </w:numPr>
        <w:spacing w:before="0" w:beforeAutospacing="0" w:after="0"/>
        <w:ind w:left="709" w:hanging="283"/>
        <w:jc w:val="both"/>
      </w:pPr>
      <w:r w:rsidRPr="00523341">
        <w:t>d</w:t>
      </w:r>
      <w:r w:rsidR="00690956" w:rsidRPr="00523341">
        <w:t>aň z</w:t>
      </w:r>
      <w:r w:rsidRPr="00523341">
        <w:t> </w:t>
      </w:r>
      <w:r w:rsidR="00690956" w:rsidRPr="00523341">
        <w:t>pozemkov</w:t>
      </w:r>
      <w:r w:rsidRPr="00523341">
        <w:t>,</w:t>
      </w:r>
    </w:p>
    <w:p w:rsidR="00FD75EB" w:rsidRPr="00523341" w:rsidRDefault="00FD75EB" w:rsidP="00FD75EB">
      <w:pPr>
        <w:pStyle w:val="Normlnywebov"/>
        <w:numPr>
          <w:ilvl w:val="0"/>
          <w:numId w:val="3"/>
        </w:numPr>
        <w:spacing w:before="0" w:beforeAutospacing="0" w:after="0"/>
        <w:ind w:left="709" w:hanging="283"/>
        <w:jc w:val="both"/>
      </w:pPr>
      <w:r w:rsidRPr="00523341">
        <w:t>d</w:t>
      </w:r>
      <w:r w:rsidR="00690956" w:rsidRPr="00523341">
        <w:t>aň zo stavieb</w:t>
      </w:r>
      <w:r w:rsidRPr="00523341">
        <w:t>,</w:t>
      </w:r>
    </w:p>
    <w:p w:rsidR="00690956" w:rsidRPr="00523341" w:rsidRDefault="00FD75EB" w:rsidP="00FD75EB">
      <w:pPr>
        <w:pStyle w:val="Normlnywebov"/>
        <w:numPr>
          <w:ilvl w:val="0"/>
          <w:numId w:val="3"/>
        </w:numPr>
        <w:spacing w:before="0" w:beforeAutospacing="0" w:after="0"/>
        <w:ind w:left="709" w:hanging="283"/>
        <w:jc w:val="both"/>
      </w:pPr>
      <w:r w:rsidRPr="00523341">
        <w:t>d</w:t>
      </w:r>
      <w:r w:rsidR="00690956" w:rsidRPr="00523341">
        <w:t>aň z bytov a z nebytových priestorov v bytovom dome (ďalej len „daň z bytov“)</w:t>
      </w:r>
    </w:p>
    <w:p w:rsidR="00690956" w:rsidRPr="00523341" w:rsidRDefault="00690956" w:rsidP="00690956">
      <w:pPr>
        <w:pStyle w:val="Normlnywebov"/>
        <w:spacing w:before="0" w:beforeAutospacing="0" w:after="0"/>
        <w:jc w:val="both"/>
      </w:pPr>
    </w:p>
    <w:p w:rsidR="00FD3460" w:rsidRPr="00523341" w:rsidRDefault="00FD3460" w:rsidP="00FD75EB">
      <w:pPr>
        <w:pStyle w:val="Normlnywebov"/>
        <w:spacing w:before="0" w:beforeAutospacing="0" w:after="0"/>
        <w:jc w:val="center"/>
        <w:rPr>
          <w:b/>
          <w:bCs/>
          <w:i/>
        </w:rPr>
      </w:pPr>
    </w:p>
    <w:p w:rsidR="00FD75EB" w:rsidRPr="00523341" w:rsidRDefault="00FD3460" w:rsidP="00FD3460">
      <w:pPr>
        <w:pStyle w:val="Normlnywebov"/>
        <w:spacing w:before="0" w:beforeAutospacing="0" w:after="0"/>
        <w:jc w:val="center"/>
        <w:rPr>
          <w:b/>
          <w:bCs/>
        </w:rPr>
      </w:pPr>
      <w:r w:rsidRPr="00523341">
        <w:rPr>
          <w:b/>
          <w:bCs/>
        </w:rPr>
        <w:t>ČASŤ DRUHÁ</w:t>
      </w:r>
    </w:p>
    <w:p w:rsidR="00FD3460" w:rsidRPr="00523341" w:rsidRDefault="00FD3460" w:rsidP="00FD3460">
      <w:pPr>
        <w:pStyle w:val="Normlnywebov"/>
        <w:spacing w:before="0" w:beforeAutospacing="0" w:after="0"/>
        <w:jc w:val="center"/>
        <w:rPr>
          <w:b/>
          <w:bCs/>
        </w:rPr>
      </w:pPr>
      <w:r w:rsidRPr="00523341">
        <w:rPr>
          <w:b/>
          <w:bCs/>
        </w:rPr>
        <w:t>Miestne dane z nehnuteľností</w:t>
      </w:r>
    </w:p>
    <w:p w:rsidR="00FD75EB" w:rsidRPr="00523341" w:rsidRDefault="00FD75EB" w:rsidP="00FD3460">
      <w:pPr>
        <w:pStyle w:val="Normlnywebov"/>
        <w:spacing w:before="0" w:beforeAutospacing="0" w:after="0"/>
        <w:jc w:val="center"/>
        <w:rPr>
          <w:b/>
          <w:bCs/>
        </w:rPr>
      </w:pPr>
    </w:p>
    <w:p w:rsidR="00690956" w:rsidRPr="00523341" w:rsidRDefault="00FD3460" w:rsidP="00FD3460">
      <w:pPr>
        <w:pStyle w:val="Normlnywebov"/>
        <w:spacing w:before="0" w:beforeAutospacing="0" w:after="0"/>
        <w:jc w:val="center"/>
        <w:rPr>
          <w:b/>
          <w:bCs/>
        </w:rPr>
      </w:pPr>
      <w:r w:rsidRPr="00523341">
        <w:rPr>
          <w:b/>
          <w:bCs/>
        </w:rPr>
        <w:t>§ 3</w:t>
      </w:r>
    </w:p>
    <w:p w:rsidR="00690956" w:rsidRPr="00523341" w:rsidRDefault="00FD3460" w:rsidP="00FD3460">
      <w:pPr>
        <w:pStyle w:val="Normlnywebov"/>
        <w:spacing w:before="0" w:beforeAutospacing="0" w:after="0"/>
        <w:jc w:val="center"/>
        <w:rPr>
          <w:b/>
        </w:rPr>
      </w:pPr>
      <w:r w:rsidRPr="00523341">
        <w:rPr>
          <w:b/>
          <w:bCs/>
        </w:rPr>
        <w:t>Daň z pozemkov</w:t>
      </w:r>
    </w:p>
    <w:p w:rsidR="00523341" w:rsidRPr="00523341" w:rsidRDefault="00523341" w:rsidP="00523341">
      <w:pPr>
        <w:numPr>
          <w:ilvl w:val="0"/>
          <w:numId w:val="23"/>
        </w:numPr>
        <w:spacing w:after="0" w:line="240" w:lineRule="auto"/>
        <w:rPr>
          <w:rFonts w:ascii="Times New Roman" w:hAnsi="Times New Roman" w:cs="Times New Roman"/>
          <w:sz w:val="24"/>
          <w:szCs w:val="24"/>
        </w:rPr>
      </w:pPr>
      <w:r w:rsidRPr="00523341">
        <w:rPr>
          <w:rFonts w:ascii="Times New Roman" w:hAnsi="Times New Roman" w:cs="Times New Roman"/>
          <w:sz w:val="24"/>
          <w:szCs w:val="24"/>
        </w:rPr>
        <w:t>Daňovníkom dane z pozemkov sú tí, ktorí sú uvedení v ustanovení § 5 zák. č. 582/2004 Z.z. o  daniach a miestnom poplatku za komunálne odpady a drobné stavebné odpady (ďalej len ,,zákon o miestnych daniach“)</w:t>
      </w:r>
    </w:p>
    <w:p w:rsidR="00523341" w:rsidRPr="00523341" w:rsidRDefault="00523341" w:rsidP="00523341">
      <w:pPr>
        <w:numPr>
          <w:ilvl w:val="0"/>
          <w:numId w:val="23"/>
        </w:numPr>
        <w:spacing w:after="0" w:line="240" w:lineRule="auto"/>
        <w:rPr>
          <w:rFonts w:ascii="Times New Roman" w:hAnsi="Times New Roman" w:cs="Times New Roman"/>
          <w:sz w:val="24"/>
          <w:szCs w:val="24"/>
        </w:rPr>
      </w:pPr>
      <w:r w:rsidRPr="00523341">
        <w:rPr>
          <w:rFonts w:ascii="Times New Roman" w:hAnsi="Times New Roman" w:cs="Times New Roman"/>
          <w:sz w:val="24"/>
          <w:szCs w:val="24"/>
        </w:rPr>
        <w:t>Predmetom dane z pozemkov sú pozemky na území obce Ploské v členení podľa § 6 ods. 1 až 6 zákona o miestnych daniach.</w:t>
      </w:r>
    </w:p>
    <w:p w:rsidR="00523341" w:rsidRDefault="00523341" w:rsidP="00523341">
      <w:pPr>
        <w:numPr>
          <w:ilvl w:val="0"/>
          <w:numId w:val="23"/>
        </w:numPr>
        <w:spacing w:after="0" w:line="240" w:lineRule="auto"/>
        <w:rPr>
          <w:rFonts w:ascii="Times New Roman" w:hAnsi="Times New Roman" w:cs="Times New Roman"/>
          <w:sz w:val="24"/>
          <w:szCs w:val="24"/>
        </w:rPr>
      </w:pPr>
      <w:r w:rsidRPr="00523341">
        <w:rPr>
          <w:rFonts w:ascii="Times New Roman" w:hAnsi="Times New Roman" w:cs="Times New Roman"/>
          <w:sz w:val="24"/>
          <w:szCs w:val="24"/>
        </w:rPr>
        <w:t>Spôsob výpočtu základu dane z pozemkov je uvedený v ustanovení § 7 zákona o miestnych daniach .Výpočet sa musí prevádzať vždy k 1. Januáru zdaňovacieho obdobia, pokiaľ nedošlo v priebehu roka k zmene. Všeobecná ročná sadzba dane z pozemkov je pre jednotlivé druhy pozemkov nasledovná</w:t>
      </w:r>
    </w:p>
    <w:p w:rsidR="00B924E4" w:rsidRDefault="00B924E4" w:rsidP="00B924E4">
      <w:pPr>
        <w:spacing w:after="0" w:line="240" w:lineRule="auto"/>
        <w:rPr>
          <w:rFonts w:ascii="Times New Roman" w:hAnsi="Times New Roman" w:cs="Times New Roman"/>
          <w:sz w:val="24"/>
          <w:szCs w:val="24"/>
        </w:rPr>
      </w:pPr>
    </w:p>
    <w:p w:rsidR="00B924E4" w:rsidRPr="00523341" w:rsidRDefault="00B924E4" w:rsidP="00B924E4">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620"/>
        <w:gridCol w:w="1440"/>
        <w:gridCol w:w="1364"/>
        <w:gridCol w:w="1621"/>
        <w:gridCol w:w="1515"/>
      </w:tblGrid>
      <w:tr w:rsidR="00523341" w:rsidRPr="00523341" w:rsidTr="005646B9">
        <w:tc>
          <w:tcPr>
            <w:tcW w:w="1728" w:type="dxa"/>
          </w:tcPr>
          <w:p w:rsidR="00523341" w:rsidRPr="00523341" w:rsidRDefault="00523341" w:rsidP="005646B9">
            <w:pPr>
              <w:spacing w:line="360" w:lineRule="auto"/>
              <w:rPr>
                <w:rFonts w:ascii="Times New Roman" w:hAnsi="Times New Roman" w:cs="Times New Roman"/>
                <w:sz w:val="24"/>
                <w:szCs w:val="24"/>
              </w:rPr>
            </w:pPr>
          </w:p>
        </w:tc>
        <w:tc>
          <w:tcPr>
            <w:tcW w:w="1620" w:type="dxa"/>
          </w:tcPr>
          <w:p w:rsidR="00523341" w:rsidRPr="00523341" w:rsidRDefault="00523341" w:rsidP="005646B9">
            <w:pPr>
              <w:spacing w:line="360" w:lineRule="auto"/>
              <w:rPr>
                <w:rFonts w:ascii="Times New Roman" w:hAnsi="Times New Roman" w:cs="Times New Roman"/>
                <w:sz w:val="24"/>
                <w:szCs w:val="24"/>
                <w:vertAlign w:val="superscript"/>
              </w:rPr>
            </w:pPr>
            <w:r w:rsidRPr="00523341">
              <w:rPr>
                <w:rFonts w:ascii="Times New Roman" w:hAnsi="Times New Roman" w:cs="Times New Roman"/>
                <w:sz w:val="24"/>
                <w:szCs w:val="24"/>
              </w:rPr>
              <w:t xml:space="preserve">  m</w:t>
            </w:r>
            <w:r w:rsidRPr="00523341">
              <w:rPr>
                <w:rFonts w:ascii="Times New Roman" w:hAnsi="Times New Roman" w:cs="Times New Roman"/>
                <w:sz w:val="24"/>
                <w:szCs w:val="24"/>
                <w:vertAlign w:val="superscript"/>
              </w:rPr>
              <w:t>2</w:t>
            </w:r>
          </w:p>
        </w:tc>
        <w:tc>
          <w:tcPr>
            <w:tcW w:w="1440"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Ha</w:t>
            </w:r>
          </w:p>
        </w:tc>
        <w:tc>
          <w:tcPr>
            <w:tcW w:w="1364"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koef.</w:t>
            </w:r>
          </w:p>
        </w:tc>
        <w:tc>
          <w:tcPr>
            <w:tcW w:w="1621" w:type="dxa"/>
          </w:tcPr>
          <w:p w:rsidR="00523341" w:rsidRPr="00523341" w:rsidRDefault="00523341" w:rsidP="005646B9">
            <w:pPr>
              <w:spacing w:line="360" w:lineRule="auto"/>
              <w:rPr>
                <w:rFonts w:ascii="Times New Roman" w:hAnsi="Times New Roman" w:cs="Times New Roman"/>
                <w:sz w:val="24"/>
                <w:szCs w:val="24"/>
                <w:vertAlign w:val="superscript"/>
              </w:rPr>
            </w:pPr>
            <w:r w:rsidRPr="00523341">
              <w:rPr>
                <w:rFonts w:ascii="Times New Roman" w:hAnsi="Times New Roman" w:cs="Times New Roman"/>
                <w:sz w:val="24"/>
                <w:szCs w:val="24"/>
              </w:rPr>
              <w:t xml:space="preserve"> Daň za m</w:t>
            </w:r>
            <w:r w:rsidRPr="00523341">
              <w:rPr>
                <w:rFonts w:ascii="Times New Roman" w:hAnsi="Times New Roman" w:cs="Times New Roman"/>
                <w:sz w:val="24"/>
                <w:szCs w:val="24"/>
                <w:vertAlign w:val="superscript"/>
              </w:rPr>
              <w:t>2</w:t>
            </w:r>
          </w:p>
        </w:tc>
        <w:tc>
          <w:tcPr>
            <w:tcW w:w="1515"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za ha</w:t>
            </w:r>
          </w:p>
        </w:tc>
      </w:tr>
      <w:tr w:rsidR="00523341" w:rsidRPr="00523341" w:rsidTr="005646B9">
        <w:tc>
          <w:tcPr>
            <w:tcW w:w="1728"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Orná pôda</w:t>
            </w:r>
          </w:p>
        </w:tc>
        <w:tc>
          <w:tcPr>
            <w:tcW w:w="1620"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0,3591 €</w:t>
            </w:r>
          </w:p>
        </w:tc>
        <w:tc>
          <w:tcPr>
            <w:tcW w:w="1440"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3591,- €</w:t>
            </w:r>
          </w:p>
        </w:tc>
        <w:tc>
          <w:tcPr>
            <w:tcW w:w="1364"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0,28</w:t>
            </w:r>
          </w:p>
        </w:tc>
        <w:tc>
          <w:tcPr>
            <w:tcW w:w="1621"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0,001006</w:t>
            </w:r>
          </w:p>
        </w:tc>
        <w:tc>
          <w:tcPr>
            <w:tcW w:w="1515"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10,06 €</w:t>
            </w:r>
          </w:p>
        </w:tc>
      </w:tr>
      <w:tr w:rsidR="00523341" w:rsidRPr="00523341" w:rsidTr="005646B9">
        <w:tc>
          <w:tcPr>
            <w:tcW w:w="1728"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 xml:space="preserve">Trvalé tr.por. </w:t>
            </w:r>
          </w:p>
        </w:tc>
        <w:tc>
          <w:tcPr>
            <w:tcW w:w="1620"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0,043 €</w:t>
            </w:r>
          </w:p>
        </w:tc>
        <w:tc>
          <w:tcPr>
            <w:tcW w:w="1440"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355,17 €</w:t>
            </w:r>
          </w:p>
        </w:tc>
        <w:tc>
          <w:tcPr>
            <w:tcW w:w="1364"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0,28</w:t>
            </w:r>
          </w:p>
        </w:tc>
        <w:tc>
          <w:tcPr>
            <w:tcW w:w="1621"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0,000099</w:t>
            </w:r>
          </w:p>
        </w:tc>
        <w:tc>
          <w:tcPr>
            <w:tcW w:w="1515"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0,99 €</w:t>
            </w:r>
          </w:p>
        </w:tc>
      </w:tr>
      <w:tr w:rsidR="00523341" w:rsidRPr="00523341" w:rsidTr="005646B9">
        <w:tc>
          <w:tcPr>
            <w:tcW w:w="1728"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Stav. pozemky</w:t>
            </w:r>
          </w:p>
        </w:tc>
        <w:tc>
          <w:tcPr>
            <w:tcW w:w="1620"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13,28 €</w:t>
            </w:r>
          </w:p>
        </w:tc>
        <w:tc>
          <w:tcPr>
            <w:tcW w:w="1440"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132,775,68 €</w:t>
            </w:r>
          </w:p>
        </w:tc>
        <w:tc>
          <w:tcPr>
            <w:tcW w:w="1364"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0,25</w:t>
            </w:r>
          </w:p>
        </w:tc>
        <w:tc>
          <w:tcPr>
            <w:tcW w:w="1621"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0,033194</w:t>
            </w:r>
          </w:p>
        </w:tc>
        <w:tc>
          <w:tcPr>
            <w:tcW w:w="1515"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331,94 €</w:t>
            </w:r>
          </w:p>
        </w:tc>
      </w:tr>
      <w:tr w:rsidR="00523341" w:rsidRPr="00523341" w:rsidTr="005646B9">
        <w:tc>
          <w:tcPr>
            <w:tcW w:w="1728"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 xml:space="preserve">Záhrady </w:t>
            </w:r>
          </w:p>
        </w:tc>
        <w:tc>
          <w:tcPr>
            <w:tcW w:w="1620"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1,33 €</w:t>
            </w:r>
          </w:p>
        </w:tc>
        <w:tc>
          <w:tcPr>
            <w:tcW w:w="1440"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13.277,57 €</w:t>
            </w:r>
          </w:p>
        </w:tc>
        <w:tc>
          <w:tcPr>
            <w:tcW w:w="1364"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0,25</w:t>
            </w:r>
          </w:p>
        </w:tc>
        <w:tc>
          <w:tcPr>
            <w:tcW w:w="1621"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0,0033193</w:t>
            </w:r>
          </w:p>
        </w:tc>
        <w:tc>
          <w:tcPr>
            <w:tcW w:w="1515"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33,19 €</w:t>
            </w:r>
          </w:p>
        </w:tc>
      </w:tr>
      <w:tr w:rsidR="00523341" w:rsidRPr="00523341" w:rsidTr="005646B9">
        <w:tc>
          <w:tcPr>
            <w:tcW w:w="1728"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Zast. plochy - dvor</w:t>
            </w:r>
          </w:p>
        </w:tc>
        <w:tc>
          <w:tcPr>
            <w:tcW w:w="1620"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1,33 €</w:t>
            </w:r>
          </w:p>
        </w:tc>
        <w:tc>
          <w:tcPr>
            <w:tcW w:w="1440"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13.277,57 €</w:t>
            </w:r>
          </w:p>
        </w:tc>
        <w:tc>
          <w:tcPr>
            <w:tcW w:w="1364"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0,25</w:t>
            </w:r>
          </w:p>
          <w:p w:rsidR="00523341" w:rsidRPr="00523341" w:rsidRDefault="00523341" w:rsidP="005646B9">
            <w:pPr>
              <w:rPr>
                <w:rFonts w:ascii="Times New Roman" w:hAnsi="Times New Roman" w:cs="Times New Roman"/>
                <w:sz w:val="24"/>
                <w:szCs w:val="24"/>
              </w:rPr>
            </w:pPr>
          </w:p>
        </w:tc>
        <w:tc>
          <w:tcPr>
            <w:tcW w:w="1621"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0,0033193</w:t>
            </w:r>
          </w:p>
        </w:tc>
        <w:tc>
          <w:tcPr>
            <w:tcW w:w="1515"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33,19 €</w:t>
            </w:r>
          </w:p>
        </w:tc>
      </w:tr>
      <w:tr w:rsidR="00523341" w:rsidRPr="00523341" w:rsidTr="005646B9">
        <w:tc>
          <w:tcPr>
            <w:tcW w:w="1728"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 xml:space="preserve">Ostatné plochy </w:t>
            </w:r>
          </w:p>
        </w:tc>
        <w:tc>
          <w:tcPr>
            <w:tcW w:w="1620"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2,655 €</w:t>
            </w:r>
          </w:p>
        </w:tc>
        <w:tc>
          <w:tcPr>
            <w:tcW w:w="1440"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26550,- €</w:t>
            </w:r>
          </w:p>
        </w:tc>
        <w:tc>
          <w:tcPr>
            <w:tcW w:w="1364"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0,25</w:t>
            </w:r>
          </w:p>
        </w:tc>
        <w:tc>
          <w:tcPr>
            <w:tcW w:w="1621"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0,0066375</w:t>
            </w:r>
          </w:p>
        </w:tc>
        <w:tc>
          <w:tcPr>
            <w:tcW w:w="1515" w:type="dxa"/>
          </w:tcPr>
          <w:p w:rsidR="00523341" w:rsidRPr="00523341" w:rsidRDefault="00523341" w:rsidP="005646B9">
            <w:pPr>
              <w:spacing w:line="360" w:lineRule="auto"/>
              <w:rPr>
                <w:rFonts w:ascii="Times New Roman" w:hAnsi="Times New Roman" w:cs="Times New Roman"/>
                <w:sz w:val="24"/>
                <w:szCs w:val="24"/>
              </w:rPr>
            </w:pPr>
            <w:r w:rsidRPr="00523341">
              <w:rPr>
                <w:rFonts w:ascii="Times New Roman" w:hAnsi="Times New Roman" w:cs="Times New Roman"/>
                <w:sz w:val="24"/>
                <w:szCs w:val="24"/>
              </w:rPr>
              <w:t>66,37 €</w:t>
            </w:r>
          </w:p>
        </w:tc>
      </w:tr>
    </w:tbl>
    <w:p w:rsidR="00523341" w:rsidRPr="00523341" w:rsidRDefault="00523341" w:rsidP="00523341">
      <w:pPr>
        <w:pStyle w:val="Normlnywebov"/>
        <w:spacing w:before="0" w:beforeAutospacing="0" w:after="0"/>
        <w:rPr>
          <w:bCs/>
        </w:rPr>
      </w:pPr>
    </w:p>
    <w:p w:rsidR="004C0216" w:rsidRPr="00523341" w:rsidRDefault="004C0216" w:rsidP="004C0216">
      <w:pPr>
        <w:pStyle w:val="Normlnywebov"/>
        <w:spacing w:before="0" w:beforeAutospacing="0" w:after="0"/>
        <w:jc w:val="center"/>
        <w:rPr>
          <w:b/>
          <w:bCs/>
        </w:rPr>
      </w:pPr>
      <w:r w:rsidRPr="00523341">
        <w:rPr>
          <w:b/>
          <w:bCs/>
        </w:rPr>
        <w:t>§ 4</w:t>
      </w:r>
    </w:p>
    <w:p w:rsidR="004C0216" w:rsidRPr="00523341" w:rsidRDefault="004C0216" w:rsidP="004C0216">
      <w:pPr>
        <w:pStyle w:val="Normlnywebov"/>
        <w:spacing w:before="0" w:beforeAutospacing="0" w:after="0"/>
        <w:jc w:val="center"/>
        <w:rPr>
          <w:b/>
          <w:bCs/>
        </w:rPr>
      </w:pPr>
      <w:r w:rsidRPr="00523341">
        <w:rPr>
          <w:b/>
          <w:bCs/>
        </w:rPr>
        <w:t>Daň zo stavieb</w:t>
      </w:r>
    </w:p>
    <w:p w:rsidR="00523341" w:rsidRPr="00523341" w:rsidRDefault="00523341" w:rsidP="00523341">
      <w:pPr>
        <w:numPr>
          <w:ilvl w:val="0"/>
          <w:numId w:val="24"/>
        </w:numPr>
        <w:spacing w:after="0" w:line="360" w:lineRule="auto"/>
        <w:rPr>
          <w:rFonts w:ascii="Times New Roman" w:hAnsi="Times New Roman" w:cs="Times New Roman"/>
          <w:sz w:val="24"/>
          <w:szCs w:val="24"/>
        </w:rPr>
      </w:pPr>
      <w:r w:rsidRPr="00523341">
        <w:rPr>
          <w:rFonts w:ascii="Times New Roman" w:hAnsi="Times New Roman" w:cs="Times New Roman"/>
          <w:sz w:val="24"/>
          <w:szCs w:val="24"/>
        </w:rPr>
        <w:t>Daňovníkom dane zo stavieb sú tí, ktorí sú uvedení v ustanovení § 9 zákona</w:t>
      </w:r>
    </w:p>
    <w:p w:rsidR="00523341" w:rsidRPr="00523341" w:rsidRDefault="00523341" w:rsidP="00523341">
      <w:pPr>
        <w:spacing w:line="360" w:lineRule="auto"/>
        <w:rPr>
          <w:rFonts w:ascii="Times New Roman" w:hAnsi="Times New Roman" w:cs="Times New Roman"/>
          <w:sz w:val="24"/>
          <w:szCs w:val="24"/>
        </w:rPr>
      </w:pPr>
      <w:r w:rsidRPr="00523341">
        <w:rPr>
          <w:rFonts w:ascii="Times New Roman" w:hAnsi="Times New Roman" w:cs="Times New Roman"/>
          <w:sz w:val="24"/>
          <w:szCs w:val="24"/>
        </w:rPr>
        <w:t xml:space="preserve">o miestnych daniach. </w:t>
      </w:r>
    </w:p>
    <w:p w:rsidR="00523341" w:rsidRPr="00523341" w:rsidRDefault="00523341" w:rsidP="00523341">
      <w:pPr>
        <w:spacing w:line="360" w:lineRule="auto"/>
        <w:rPr>
          <w:rFonts w:ascii="Times New Roman" w:hAnsi="Times New Roman" w:cs="Times New Roman"/>
          <w:sz w:val="24"/>
          <w:szCs w:val="24"/>
        </w:rPr>
      </w:pPr>
      <w:r w:rsidRPr="00523341">
        <w:rPr>
          <w:rFonts w:ascii="Times New Roman" w:hAnsi="Times New Roman" w:cs="Times New Roman"/>
          <w:sz w:val="24"/>
          <w:szCs w:val="24"/>
        </w:rPr>
        <w:tab/>
        <w:t xml:space="preserve">(2) Predmetom dane zo stavieb sú stavby na území obce Ploské, ktoré majú jedno alebo viac nadzemných podlaží alebo ich časti spojené so zemou pevným základom, na ktoré bolo vydané kolaudačné rozhodnutie a ak sa takéto rozhodnutie nevydalo, tie stavby alebo ich časti, ktoré sa skutočne užívajú. Ak bolo na stavbu vydané kolaudačné rozhodnutie, na daňovú povinnosť nemá vplyv skutočnosť, že stavba prestala užívať. </w:t>
      </w:r>
    </w:p>
    <w:p w:rsidR="00523341" w:rsidRPr="00523341" w:rsidRDefault="00523341" w:rsidP="00523341">
      <w:pPr>
        <w:spacing w:line="360" w:lineRule="auto"/>
        <w:rPr>
          <w:rFonts w:ascii="Times New Roman" w:hAnsi="Times New Roman" w:cs="Times New Roman"/>
          <w:sz w:val="24"/>
          <w:szCs w:val="24"/>
        </w:rPr>
      </w:pPr>
      <w:r w:rsidRPr="00523341">
        <w:rPr>
          <w:rFonts w:ascii="Times New Roman" w:hAnsi="Times New Roman" w:cs="Times New Roman"/>
          <w:sz w:val="24"/>
          <w:szCs w:val="24"/>
          <w:vertAlign w:val="superscript"/>
        </w:rPr>
        <w:tab/>
      </w:r>
      <w:r w:rsidRPr="00523341">
        <w:rPr>
          <w:rFonts w:ascii="Times New Roman" w:hAnsi="Times New Roman" w:cs="Times New Roman"/>
          <w:sz w:val="24"/>
          <w:szCs w:val="24"/>
        </w:rPr>
        <w:t>(3) Základom dane zo stavieb je výmera zastavanej plochy v m² . Zastavanou plochou sa rozumie pôdorys stavby na úrovni najrozsiahlejšej nadzemnej časti stavby.</w:t>
      </w:r>
    </w:p>
    <w:p w:rsidR="00523341" w:rsidRPr="00523341" w:rsidRDefault="00523341" w:rsidP="00523341">
      <w:pPr>
        <w:spacing w:line="360" w:lineRule="auto"/>
        <w:rPr>
          <w:rFonts w:ascii="Times New Roman" w:hAnsi="Times New Roman" w:cs="Times New Roman"/>
          <w:sz w:val="24"/>
          <w:szCs w:val="24"/>
        </w:rPr>
      </w:pPr>
      <w:r w:rsidRPr="00523341">
        <w:rPr>
          <w:rFonts w:ascii="Times New Roman" w:hAnsi="Times New Roman" w:cs="Times New Roman"/>
          <w:sz w:val="24"/>
          <w:szCs w:val="24"/>
        </w:rPr>
        <w:tab/>
        <w:t xml:space="preserve">(4) Ročná sadzba dane zo stavieb je za každý aj začatý m² zastavanej plochy nasledovná </w:t>
      </w:r>
    </w:p>
    <w:p w:rsidR="00523341" w:rsidRPr="00523341" w:rsidRDefault="00523341" w:rsidP="00523341">
      <w:pPr>
        <w:spacing w:after="0" w:line="240" w:lineRule="auto"/>
        <w:rPr>
          <w:rFonts w:ascii="Times New Roman" w:hAnsi="Times New Roman" w:cs="Times New Roman"/>
          <w:sz w:val="24"/>
          <w:szCs w:val="24"/>
        </w:rPr>
      </w:pPr>
      <w:r w:rsidRPr="00523341">
        <w:rPr>
          <w:rFonts w:ascii="Times New Roman" w:hAnsi="Times New Roman" w:cs="Times New Roman"/>
          <w:sz w:val="24"/>
          <w:szCs w:val="24"/>
        </w:rPr>
        <w:t xml:space="preserve">a/ stavby na bývanie                      0,03  €/m²  </w:t>
      </w:r>
    </w:p>
    <w:p w:rsidR="00523341" w:rsidRPr="00523341" w:rsidRDefault="00523341" w:rsidP="00523341">
      <w:pPr>
        <w:spacing w:after="0" w:line="240" w:lineRule="auto"/>
        <w:rPr>
          <w:rFonts w:ascii="Times New Roman" w:hAnsi="Times New Roman" w:cs="Times New Roman"/>
          <w:sz w:val="24"/>
          <w:szCs w:val="24"/>
        </w:rPr>
      </w:pPr>
      <w:r w:rsidRPr="00523341">
        <w:rPr>
          <w:rFonts w:ascii="Times New Roman" w:hAnsi="Times New Roman" w:cs="Times New Roman"/>
          <w:sz w:val="24"/>
          <w:szCs w:val="24"/>
        </w:rPr>
        <w:t xml:space="preserve">b/ ostatné stavby                            0,10  €/m²  </w:t>
      </w:r>
    </w:p>
    <w:p w:rsidR="00523341" w:rsidRPr="00523341" w:rsidRDefault="00523341" w:rsidP="00523341">
      <w:pPr>
        <w:spacing w:after="0" w:line="240" w:lineRule="auto"/>
        <w:rPr>
          <w:rFonts w:ascii="Times New Roman" w:hAnsi="Times New Roman" w:cs="Times New Roman"/>
          <w:sz w:val="24"/>
          <w:szCs w:val="24"/>
        </w:rPr>
      </w:pPr>
      <w:r w:rsidRPr="00523341">
        <w:rPr>
          <w:rFonts w:ascii="Times New Roman" w:hAnsi="Times New Roman" w:cs="Times New Roman"/>
          <w:sz w:val="24"/>
          <w:szCs w:val="24"/>
        </w:rPr>
        <w:t xml:space="preserve">c/ stavby na poľn. účely                0,03  €/m²  </w:t>
      </w:r>
    </w:p>
    <w:p w:rsidR="00523341" w:rsidRPr="00523341" w:rsidRDefault="00523341" w:rsidP="00523341">
      <w:pPr>
        <w:spacing w:after="0" w:line="240" w:lineRule="auto"/>
        <w:rPr>
          <w:rFonts w:ascii="Times New Roman" w:hAnsi="Times New Roman" w:cs="Times New Roman"/>
          <w:sz w:val="24"/>
          <w:szCs w:val="24"/>
        </w:rPr>
      </w:pPr>
      <w:r w:rsidRPr="00523341">
        <w:rPr>
          <w:rFonts w:ascii="Times New Roman" w:hAnsi="Times New Roman" w:cs="Times New Roman"/>
          <w:sz w:val="24"/>
          <w:szCs w:val="24"/>
        </w:rPr>
        <w:t>d/ samostatne stojace garáže          0,13  €/m²</w:t>
      </w:r>
    </w:p>
    <w:p w:rsidR="00523341" w:rsidRPr="00523341" w:rsidRDefault="00523341" w:rsidP="00523341">
      <w:pPr>
        <w:spacing w:after="0" w:line="240" w:lineRule="auto"/>
        <w:rPr>
          <w:rFonts w:ascii="Times New Roman" w:hAnsi="Times New Roman" w:cs="Times New Roman"/>
          <w:sz w:val="24"/>
          <w:szCs w:val="24"/>
        </w:rPr>
      </w:pPr>
      <w:r w:rsidRPr="00523341">
        <w:rPr>
          <w:rFonts w:ascii="Times New Roman" w:hAnsi="Times New Roman" w:cs="Times New Roman"/>
          <w:sz w:val="24"/>
          <w:szCs w:val="24"/>
        </w:rPr>
        <w:t xml:space="preserve">e/ stavby na podnikateľské účely   0,33  €/m²         </w:t>
      </w:r>
    </w:p>
    <w:p w:rsidR="00523341" w:rsidRPr="00523341" w:rsidRDefault="00523341" w:rsidP="00523341">
      <w:pPr>
        <w:spacing w:after="0" w:line="240" w:lineRule="auto"/>
        <w:rPr>
          <w:rFonts w:ascii="Times New Roman" w:hAnsi="Times New Roman" w:cs="Times New Roman"/>
          <w:sz w:val="24"/>
          <w:szCs w:val="24"/>
        </w:rPr>
      </w:pPr>
      <w:r w:rsidRPr="00523341">
        <w:rPr>
          <w:rFonts w:ascii="Times New Roman" w:hAnsi="Times New Roman" w:cs="Times New Roman"/>
          <w:sz w:val="24"/>
          <w:szCs w:val="24"/>
        </w:rPr>
        <w:t xml:space="preserve">f/ chaty                                           0,10  €/m²               </w:t>
      </w:r>
    </w:p>
    <w:p w:rsidR="00523341" w:rsidRPr="00523341" w:rsidRDefault="00523341" w:rsidP="00523341">
      <w:pPr>
        <w:spacing w:after="0" w:line="360" w:lineRule="auto"/>
        <w:rPr>
          <w:rFonts w:ascii="Times New Roman" w:hAnsi="Times New Roman" w:cs="Times New Roman"/>
          <w:sz w:val="24"/>
          <w:szCs w:val="24"/>
        </w:rPr>
      </w:pPr>
      <w:r w:rsidRPr="00523341">
        <w:rPr>
          <w:rFonts w:ascii="Times New Roman" w:hAnsi="Times New Roman" w:cs="Times New Roman"/>
          <w:sz w:val="24"/>
          <w:szCs w:val="24"/>
        </w:rPr>
        <w:t>s tým, že v tomto prípade sa nepoužijú všeobecné ročné sadzby uvedené v odseku 4 tohto ustanovenia.</w:t>
      </w:r>
    </w:p>
    <w:p w:rsidR="00523341" w:rsidRPr="00523341" w:rsidRDefault="00523341" w:rsidP="00523341">
      <w:pPr>
        <w:numPr>
          <w:ilvl w:val="0"/>
          <w:numId w:val="23"/>
        </w:numPr>
        <w:spacing w:after="0" w:line="240" w:lineRule="auto"/>
        <w:rPr>
          <w:rFonts w:ascii="Times New Roman" w:hAnsi="Times New Roman" w:cs="Times New Roman"/>
          <w:sz w:val="24"/>
          <w:szCs w:val="24"/>
        </w:rPr>
      </w:pPr>
      <w:r w:rsidRPr="00523341">
        <w:rPr>
          <w:rFonts w:ascii="Times New Roman" w:hAnsi="Times New Roman" w:cs="Times New Roman"/>
          <w:sz w:val="24"/>
          <w:szCs w:val="24"/>
        </w:rPr>
        <w:lastRenderedPageBreak/>
        <w:t xml:space="preserve">Sadzba dane podľa odseku 4 písm. a/ a b/, resp. odseku 5 písm. a/, b/ tohto ustanovenia sa pri viacpodlažných stavbách zvyšuje o 0,02 € , za každý aj začatý m² zastavanej  plochy za každé ďalšie nadzemné podlažie. </w:t>
      </w:r>
    </w:p>
    <w:p w:rsidR="008A0E7F" w:rsidRPr="00523341" w:rsidRDefault="008A0E7F" w:rsidP="00BC6025">
      <w:pPr>
        <w:pStyle w:val="Normlnywebov"/>
        <w:spacing w:before="0" w:beforeAutospacing="0" w:after="0"/>
        <w:ind w:left="426"/>
        <w:jc w:val="both"/>
      </w:pPr>
    </w:p>
    <w:p w:rsidR="00BC6025" w:rsidRPr="00523341" w:rsidRDefault="00BC6025" w:rsidP="00BC6025">
      <w:pPr>
        <w:pStyle w:val="Normlnywebov"/>
        <w:spacing w:before="0" w:beforeAutospacing="0" w:after="0"/>
        <w:jc w:val="center"/>
        <w:rPr>
          <w:b/>
          <w:bCs/>
        </w:rPr>
      </w:pPr>
      <w:r w:rsidRPr="00523341">
        <w:rPr>
          <w:b/>
          <w:bCs/>
        </w:rPr>
        <w:t>§ 5</w:t>
      </w:r>
    </w:p>
    <w:p w:rsidR="00BC6025" w:rsidRPr="00523341" w:rsidRDefault="00C00C34" w:rsidP="00BC6025">
      <w:pPr>
        <w:pStyle w:val="Normlnywebov"/>
        <w:spacing w:before="0" w:beforeAutospacing="0" w:after="0"/>
        <w:jc w:val="center"/>
        <w:rPr>
          <w:b/>
          <w:bCs/>
        </w:rPr>
      </w:pPr>
      <w:r w:rsidRPr="00523341">
        <w:rPr>
          <w:b/>
          <w:bCs/>
        </w:rPr>
        <w:t>Daň z bytov</w:t>
      </w:r>
    </w:p>
    <w:p w:rsidR="00690956" w:rsidRPr="00523341" w:rsidRDefault="00690956" w:rsidP="00690956">
      <w:pPr>
        <w:pStyle w:val="Normlnywebov"/>
        <w:spacing w:before="0" w:beforeAutospacing="0" w:after="0"/>
        <w:jc w:val="both"/>
      </w:pPr>
    </w:p>
    <w:p w:rsidR="00690956" w:rsidRPr="00523341" w:rsidRDefault="00690956" w:rsidP="00690956">
      <w:pPr>
        <w:pStyle w:val="Normlnywebov"/>
        <w:numPr>
          <w:ilvl w:val="0"/>
          <w:numId w:val="9"/>
        </w:numPr>
        <w:spacing w:before="0" w:beforeAutospacing="0" w:after="0"/>
        <w:ind w:left="426" w:hanging="426"/>
        <w:jc w:val="both"/>
      </w:pPr>
      <w:r w:rsidRPr="00523341">
        <w:t xml:space="preserve">Správca dane </w:t>
      </w:r>
      <w:r w:rsidR="00C00C34" w:rsidRPr="00523341">
        <w:t xml:space="preserve">určuje </w:t>
      </w:r>
      <w:r w:rsidR="00C00C34" w:rsidRPr="00523341">
        <w:rPr>
          <w:b/>
        </w:rPr>
        <w:t>ročnú sadzbu dane z bytov</w:t>
      </w:r>
      <w:r w:rsidR="00C00C34" w:rsidRPr="00523341">
        <w:t xml:space="preserve"> a nebytových priestorov </w:t>
      </w:r>
      <w:r w:rsidRPr="00523341">
        <w:t xml:space="preserve">na území obce </w:t>
      </w:r>
      <w:r w:rsidR="004603CB" w:rsidRPr="00523341">
        <w:t>Ploské</w:t>
      </w:r>
      <w:r w:rsidRPr="00523341">
        <w:t xml:space="preserve"> </w:t>
      </w:r>
      <w:r w:rsidR="00C00C34" w:rsidRPr="00523341">
        <w:t xml:space="preserve">vo výške </w:t>
      </w:r>
      <w:r w:rsidR="0059619C" w:rsidRPr="00523341">
        <w:rPr>
          <w:b/>
        </w:rPr>
        <w:t>0,</w:t>
      </w:r>
      <w:r w:rsidR="00B11806" w:rsidRPr="00523341">
        <w:rPr>
          <w:b/>
        </w:rPr>
        <w:t>0</w:t>
      </w:r>
      <w:r w:rsidR="00162B12" w:rsidRPr="00523341">
        <w:rPr>
          <w:b/>
        </w:rPr>
        <w:t>3</w:t>
      </w:r>
      <w:r w:rsidR="00C00C34" w:rsidRPr="00523341">
        <w:rPr>
          <w:b/>
        </w:rPr>
        <w:t xml:space="preserve"> €</w:t>
      </w:r>
      <w:r w:rsidR="00C00C34" w:rsidRPr="00523341">
        <w:t xml:space="preserve"> </w:t>
      </w:r>
      <w:r w:rsidRPr="00523341">
        <w:rPr>
          <w:b/>
        </w:rPr>
        <w:t xml:space="preserve">za každý </w:t>
      </w:r>
      <w:r w:rsidR="00C00C34" w:rsidRPr="00523341">
        <w:rPr>
          <w:b/>
        </w:rPr>
        <w:t xml:space="preserve">aj </w:t>
      </w:r>
      <w:r w:rsidRPr="00523341">
        <w:rPr>
          <w:b/>
        </w:rPr>
        <w:t>začatý m</w:t>
      </w:r>
      <w:r w:rsidRPr="00523341">
        <w:rPr>
          <w:b/>
          <w:vertAlign w:val="superscript"/>
        </w:rPr>
        <w:t>2</w:t>
      </w:r>
      <w:r w:rsidRPr="00523341">
        <w:t xml:space="preserve"> </w:t>
      </w:r>
      <w:r w:rsidR="00C00C34" w:rsidRPr="00523341">
        <w:t xml:space="preserve">podlahovej plochy bytu a nebytového priestoru. </w:t>
      </w:r>
    </w:p>
    <w:p w:rsidR="00B11AC2" w:rsidRPr="00523341" w:rsidRDefault="00B11AC2" w:rsidP="00690956">
      <w:pPr>
        <w:pStyle w:val="Normlnywebov"/>
        <w:spacing w:before="0" w:beforeAutospacing="0" w:after="0"/>
        <w:jc w:val="both"/>
        <w:rPr>
          <w:bCs/>
        </w:rPr>
      </w:pPr>
    </w:p>
    <w:p w:rsidR="00C63902" w:rsidRPr="00523341" w:rsidRDefault="00C63902" w:rsidP="00C63902">
      <w:pPr>
        <w:pStyle w:val="Normlnywebov"/>
        <w:spacing w:before="0" w:beforeAutospacing="0" w:after="0"/>
        <w:jc w:val="center"/>
        <w:rPr>
          <w:b/>
          <w:bCs/>
        </w:rPr>
      </w:pPr>
      <w:r w:rsidRPr="00523341">
        <w:rPr>
          <w:b/>
          <w:bCs/>
        </w:rPr>
        <w:t>ČASŤ TRETIA</w:t>
      </w:r>
    </w:p>
    <w:p w:rsidR="006C2790" w:rsidRPr="00523341" w:rsidRDefault="006C2790" w:rsidP="006C2790">
      <w:pPr>
        <w:pStyle w:val="Normlnywebov"/>
        <w:spacing w:before="0" w:beforeAutospacing="0" w:after="0"/>
        <w:jc w:val="center"/>
        <w:rPr>
          <w:b/>
          <w:bCs/>
        </w:rPr>
      </w:pPr>
      <w:r w:rsidRPr="00523341">
        <w:rPr>
          <w:b/>
          <w:bCs/>
        </w:rPr>
        <w:t>Spoločné a záverečné ustanovenia</w:t>
      </w:r>
    </w:p>
    <w:p w:rsidR="006C2790" w:rsidRPr="00523341" w:rsidRDefault="006C2790" w:rsidP="006C2790">
      <w:pPr>
        <w:pStyle w:val="Normlnywebov"/>
        <w:spacing w:before="0" w:beforeAutospacing="0" w:after="0"/>
        <w:jc w:val="both"/>
        <w:rPr>
          <w:b/>
          <w:bCs/>
        </w:rPr>
      </w:pPr>
    </w:p>
    <w:p w:rsidR="00C63902" w:rsidRPr="00523341" w:rsidRDefault="00C63902" w:rsidP="00C63902">
      <w:pPr>
        <w:pStyle w:val="Normlnywebov"/>
        <w:spacing w:before="0" w:beforeAutospacing="0" w:after="0"/>
        <w:jc w:val="center"/>
        <w:rPr>
          <w:b/>
          <w:bCs/>
        </w:rPr>
      </w:pPr>
      <w:r w:rsidRPr="00523341">
        <w:rPr>
          <w:b/>
          <w:bCs/>
        </w:rPr>
        <w:t>§ 6</w:t>
      </w:r>
    </w:p>
    <w:p w:rsidR="00690956" w:rsidRPr="00523341" w:rsidRDefault="00690956" w:rsidP="00690956">
      <w:pPr>
        <w:pStyle w:val="Normlnywebov"/>
        <w:spacing w:before="0" w:beforeAutospacing="0" w:after="0"/>
        <w:jc w:val="center"/>
        <w:rPr>
          <w:b/>
        </w:rPr>
      </w:pPr>
      <w:r w:rsidRPr="00523341">
        <w:rPr>
          <w:b/>
          <w:bCs/>
        </w:rPr>
        <w:t>Spoločné ustanovenia</w:t>
      </w:r>
    </w:p>
    <w:p w:rsidR="00690956" w:rsidRPr="00523341" w:rsidRDefault="00690956" w:rsidP="00690956">
      <w:pPr>
        <w:pStyle w:val="Normlnywebov"/>
        <w:spacing w:before="0" w:beforeAutospacing="0" w:after="0"/>
        <w:jc w:val="both"/>
        <w:rPr>
          <w:b/>
          <w:bCs/>
        </w:rPr>
      </w:pPr>
    </w:p>
    <w:p w:rsidR="00690956" w:rsidRPr="00523341" w:rsidRDefault="00690956" w:rsidP="00690956">
      <w:pPr>
        <w:pStyle w:val="Normlnywebov"/>
        <w:numPr>
          <w:ilvl w:val="0"/>
          <w:numId w:val="19"/>
        </w:numPr>
        <w:spacing w:before="0" w:beforeAutospacing="0" w:after="0"/>
        <w:ind w:left="426" w:hanging="426"/>
        <w:jc w:val="both"/>
      </w:pPr>
      <w:r w:rsidRPr="00523341">
        <w:t xml:space="preserve">Správu miestnych daní vykonáva Obec </w:t>
      </w:r>
      <w:r w:rsidR="004603CB" w:rsidRPr="00523341">
        <w:t>Ploské</w:t>
      </w:r>
      <w:r w:rsidRPr="00523341">
        <w:t xml:space="preserve"> prostredníctvom starostu obce a</w:t>
      </w:r>
      <w:r w:rsidR="006C2790" w:rsidRPr="00523341">
        <w:t xml:space="preserve"> poverených </w:t>
      </w:r>
      <w:r w:rsidRPr="00523341">
        <w:t xml:space="preserve">zamestnancov </w:t>
      </w:r>
      <w:r w:rsidR="006C2790" w:rsidRPr="00523341">
        <w:t>obce</w:t>
      </w:r>
      <w:r w:rsidRPr="00523341">
        <w:t>.</w:t>
      </w:r>
    </w:p>
    <w:p w:rsidR="001220BD" w:rsidRPr="00523341" w:rsidRDefault="001220BD" w:rsidP="001220BD">
      <w:pPr>
        <w:pStyle w:val="Normlnywebov"/>
        <w:spacing w:before="0" w:beforeAutospacing="0" w:after="0"/>
        <w:ind w:left="360"/>
        <w:jc w:val="center"/>
        <w:rPr>
          <w:b/>
          <w:bCs/>
        </w:rPr>
      </w:pPr>
      <w:r w:rsidRPr="00523341">
        <w:rPr>
          <w:b/>
          <w:bCs/>
        </w:rPr>
        <w:t>§ 6</w:t>
      </w:r>
    </w:p>
    <w:p w:rsidR="001220BD" w:rsidRPr="00523341" w:rsidRDefault="001220BD" w:rsidP="001220BD">
      <w:pPr>
        <w:pStyle w:val="Normlnywebov"/>
        <w:spacing w:before="0" w:beforeAutospacing="0" w:after="0"/>
        <w:jc w:val="center"/>
        <w:rPr>
          <w:b/>
        </w:rPr>
      </w:pPr>
      <w:r w:rsidRPr="00523341">
        <w:rPr>
          <w:b/>
        </w:rPr>
        <w:t>Zrušovacie ustanov</w:t>
      </w:r>
      <w:r w:rsidR="00162B12" w:rsidRPr="00523341">
        <w:rPr>
          <w:b/>
        </w:rPr>
        <w:t>e</w:t>
      </w:r>
      <w:r w:rsidRPr="00523341">
        <w:rPr>
          <w:b/>
        </w:rPr>
        <w:t>nie</w:t>
      </w:r>
    </w:p>
    <w:p w:rsidR="004603CB" w:rsidRPr="00523341" w:rsidRDefault="001220BD" w:rsidP="00523341">
      <w:pPr>
        <w:ind w:left="142" w:right="-567"/>
        <w:jc w:val="both"/>
        <w:rPr>
          <w:b/>
          <w:bCs/>
          <w:sz w:val="24"/>
          <w:szCs w:val="24"/>
        </w:rPr>
      </w:pPr>
      <w:r w:rsidRPr="00523341">
        <w:rPr>
          <w:rFonts w:ascii="Times New Roman" w:hAnsi="Times New Roman" w:cs="Times New Roman"/>
          <w:bCs/>
          <w:iCs/>
          <w:sz w:val="24"/>
          <w:szCs w:val="24"/>
        </w:rPr>
        <w:t>Týmto VZN sa zrušuje Všeobecne záväzné nariadenie Obce Ploské  č. 03/2012 o miestnych daniach z nehnuteľností, za psa a o miestnom poplatku za komunálne odpady a drobné stavebné odpady a jeho dodatkoch.</w:t>
      </w:r>
    </w:p>
    <w:p w:rsidR="00690956" w:rsidRPr="00523341" w:rsidRDefault="006C2790" w:rsidP="00690956">
      <w:pPr>
        <w:pStyle w:val="Normlnywebov"/>
        <w:spacing w:before="0" w:beforeAutospacing="0" w:after="0"/>
        <w:jc w:val="center"/>
        <w:rPr>
          <w:b/>
          <w:bCs/>
        </w:rPr>
      </w:pPr>
      <w:r w:rsidRPr="00523341">
        <w:rPr>
          <w:b/>
          <w:bCs/>
        </w:rPr>
        <w:t>§ 7</w:t>
      </w:r>
    </w:p>
    <w:p w:rsidR="00690956" w:rsidRPr="00523341" w:rsidRDefault="00690956" w:rsidP="00690956">
      <w:pPr>
        <w:pStyle w:val="Normlnywebov"/>
        <w:spacing w:before="0" w:beforeAutospacing="0" w:after="0"/>
        <w:jc w:val="center"/>
        <w:rPr>
          <w:b/>
          <w:bCs/>
        </w:rPr>
      </w:pPr>
      <w:r w:rsidRPr="00523341">
        <w:rPr>
          <w:b/>
          <w:bCs/>
        </w:rPr>
        <w:t>Záverečné ustanovenia</w:t>
      </w:r>
    </w:p>
    <w:p w:rsidR="00690956" w:rsidRPr="00523341" w:rsidRDefault="00690956" w:rsidP="00690956">
      <w:pPr>
        <w:pStyle w:val="Normlnywebov"/>
        <w:spacing w:before="0" w:beforeAutospacing="0" w:after="0"/>
      </w:pPr>
    </w:p>
    <w:p w:rsidR="00690956" w:rsidRPr="00523341" w:rsidRDefault="00A83CAE" w:rsidP="00690956">
      <w:pPr>
        <w:pStyle w:val="Normlnywebov"/>
        <w:numPr>
          <w:ilvl w:val="0"/>
          <w:numId w:val="20"/>
        </w:numPr>
        <w:spacing w:before="0" w:beforeAutospacing="0" w:after="0"/>
        <w:ind w:left="426" w:hanging="426"/>
        <w:jc w:val="both"/>
      </w:pPr>
      <w:r w:rsidRPr="00523341">
        <w:t>Pokiaľ v tomto V</w:t>
      </w:r>
      <w:r w:rsidR="00690956" w:rsidRPr="00523341">
        <w:t>šeobecne záväznom nariadení nie je podrobnejšia úprava, odkazuje sa na zákon č. 582/2004 v úplnom znení o miestnych daniach</w:t>
      </w:r>
      <w:r w:rsidRPr="00523341">
        <w:t xml:space="preserve"> a miestnom poplatku za komunálne odpady a drobné stavebné odpady</w:t>
      </w:r>
      <w:r w:rsidR="003D53E2" w:rsidRPr="00523341">
        <w:t xml:space="preserve"> v znení neskorších predpisov a zákona č. 563/2009 Z. z. o správe daní (daňový poriadok) a o zmene a doplnení niektorých zákonov v znení neskorších predpisov.</w:t>
      </w:r>
    </w:p>
    <w:p w:rsidR="00690956" w:rsidRPr="00523341" w:rsidRDefault="00690956" w:rsidP="00690956">
      <w:pPr>
        <w:pStyle w:val="Normlnywebov"/>
        <w:spacing w:before="0" w:beforeAutospacing="0" w:after="0"/>
        <w:jc w:val="both"/>
      </w:pPr>
    </w:p>
    <w:p w:rsidR="003C5806" w:rsidRPr="00523341" w:rsidRDefault="003C5806" w:rsidP="003C5806">
      <w:pPr>
        <w:pStyle w:val="Normlnywebov"/>
        <w:numPr>
          <w:ilvl w:val="0"/>
          <w:numId w:val="20"/>
        </w:numPr>
        <w:spacing w:before="0" w:beforeAutospacing="0" w:after="0"/>
        <w:ind w:left="426" w:hanging="426"/>
        <w:jc w:val="both"/>
      </w:pPr>
      <w:r w:rsidRPr="00523341">
        <w:t xml:space="preserve">Na tomto Všeobecne záväznom nariadení </w:t>
      </w:r>
      <w:r w:rsidRPr="00523341">
        <w:rPr>
          <w:bCs/>
        </w:rPr>
        <w:t xml:space="preserve">Obce </w:t>
      </w:r>
      <w:r w:rsidR="004603CB" w:rsidRPr="00523341">
        <w:rPr>
          <w:bCs/>
        </w:rPr>
        <w:t>Ploské</w:t>
      </w:r>
      <w:r w:rsidRPr="00523341">
        <w:t xml:space="preserve"> sa uznieslo Obecné zastupiteľstvo obce </w:t>
      </w:r>
      <w:r w:rsidR="004603CB" w:rsidRPr="00523341">
        <w:t xml:space="preserve">Ploské </w:t>
      </w:r>
      <w:r w:rsidRPr="00523341">
        <w:t xml:space="preserve"> dňa </w:t>
      </w:r>
      <w:r w:rsidR="005F2E05">
        <w:t>15.12.2022</w:t>
      </w:r>
      <w:r w:rsidRPr="00523341">
        <w:t xml:space="preserve"> </w:t>
      </w:r>
      <w:r w:rsidRPr="00523341">
        <w:rPr>
          <w:bCs/>
        </w:rPr>
        <w:t xml:space="preserve">uznesením č. </w:t>
      </w:r>
      <w:r w:rsidR="005F2E05">
        <w:rPr>
          <w:bCs/>
        </w:rPr>
        <w:t>2/8/2022</w:t>
      </w:r>
    </w:p>
    <w:p w:rsidR="003C5806" w:rsidRPr="00523341" w:rsidRDefault="003C5806" w:rsidP="003C5806">
      <w:pPr>
        <w:pStyle w:val="Normlnywebov"/>
        <w:spacing w:before="0" w:beforeAutospacing="0" w:after="0"/>
        <w:jc w:val="both"/>
      </w:pPr>
    </w:p>
    <w:p w:rsidR="003C5806" w:rsidRPr="00523341" w:rsidRDefault="003C5806" w:rsidP="003C5806">
      <w:pPr>
        <w:pStyle w:val="Normlnywebov"/>
        <w:numPr>
          <w:ilvl w:val="0"/>
          <w:numId w:val="20"/>
        </w:numPr>
        <w:spacing w:before="0" w:beforeAutospacing="0" w:after="0"/>
        <w:ind w:left="426" w:hanging="426"/>
        <w:jc w:val="both"/>
      </w:pPr>
      <w:r w:rsidRPr="00523341">
        <w:t xml:space="preserve">Zmeny a doplnky tohto Všeobecne záväzného nariadenia schvaľuje Obecné zastupiteľstvo obce </w:t>
      </w:r>
      <w:r w:rsidR="004603CB" w:rsidRPr="00523341">
        <w:t>Ploské</w:t>
      </w:r>
      <w:r w:rsidRPr="00523341">
        <w:t>.</w:t>
      </w:r>
    </w:p>
    <w:p w:rsidR="003C5806" w:rsidRPr="00523341" w:rsidRDefault="003C5806" w:rsidP="003C5806">
      <w:pPr>
        <w:pStyle w:val="Normlnywebov"/>
        <w:spacing w:before="0" w:beforeAutospacing="0" w:after="0"/>
        <w:jc w:val="both"/>
      </w:pPr>
    </w:p>
    <w:p w:rsidR="003C5806" w:rsidRPr="00523341" w:rsidRDefault="003C5806" w:rsidP="003C5806">
      <w:pPr>
        <w:pStyle w:val="Normlnywebov"/>
        <w:numPr>
          <w:ilvl w:val="0"/>
          <w:numId w:val="20"/>
        </w:numPr>
        <w:spacing w:before="0" w:beforeAutospacing="0" w:after="0"/>
        <w:ind w:left="426" w:hanging="426"/>
        <w:jc w:val="both"/>
      </w:pPr>
      <w:r w:rsidRPr="00523341">
        <w:t xml:space="preserve">Toto Všeobecne záväzné nariadenie </w:t>
      </w:r>
      <w:r w:rsidRPr="00523341">
        <w:rPr>
          <w:bCs/>
        </w:rPr>
        <w:t>nadobúda účinnosť dňom 01.01.</w:t>
      </w:r>
      <w:r w:rsidR="004603CB" w:rsidRPr="00523341">
        <w:rPr>
          <w:bCs/>
        </w:rPr>
        <w:t>2023</w:t>
      </w:r>
      <w:r w:rsidRPr="00523341">
        <w:rPr>
          <w:bCs/>
        </w:rPr>
        <w:t>.</w:t>
      </w:r>
    </w:p>
    <w:p w:rsidR="00690956" w:rsidRPr="00523341" w:rsidRDefault="00690956" w:rsidP="00690956">
      <w:pPr>
        <w:pStyle w:val="Normlnywebov"/>
        <w:spacing w:before="0" w:beforeAutospacing="0" w:after="0"/>
        <w:jc w:val="both"/>
      </w:pPr>
    </w:p>
    <w:p w:rsidR="00B11AC2" w:rsidRPr="00523341" w:rsidRDefault="00B11AC2" w:rsidP="00B11AC2">
      <w:pPr>
        <w:pStyle w:val="Normlnywebov"/>
        <w:tabs>
          <w:tab w:val="left" w:pos="568"/>
        </w:tabs>
        <w:spacing w:before="0" w:beforeAutospacing="0" w:after="0"/>
        <w:jc w:val="both"/>
      </w:pPr>
      <w:r w:rsidRPr="00523341">
        <w:tab/>
      </w:r>
      <w:r w:rsidRPr="00523341">
        <w:tab/>
      </w:r>
      <w:r w:rsidRPr="00523341">
        <w:tab/>
      </w:r>
      <w:r w:rsidRPr="00523341">
        <w:tab/>
      </w:r>
      <w:r w:rsidRPr="00523341">
        <w:tab/>
      </w:r>
      <w:r w:rsidRPr="00523341">
        <w:tab/>
      </w:r>
      <w:r w:rsidRPr="00523341">
        <w:tab/>
      </w:r>
      <w:r w:rsidRPr="00523341">
        <w:tab/>
      </w:r>
      <w:r w:rsidRPr="00523341">
        <w:tab/>
        <w:t>...............................................</w:t>
      </w:r>
    </w:p>
    <w:p w:rsidR="00B11AC2" w:rsidRPr="00523341" w:rsidRDefault="00B11AC2" w:rsidP="00B11AC2">
      <w:pPr>
        <w:pStyle w:val="Normlnywebov"/>
        <w:tabs>
          <w:tab w:val="left" w:pos="568"/>
        </w:tabs>
        <w:spacing w:before="0" w:beforeAutospacing="0" w:after="0"/>
        <w:jc w:val="both"/>
      </w:pPr>
      <w:r w:rsidRPr="00523341">
        <w:tab/>
      </w:r>
      <w:r w:rsidRPr="00523341">
        <w:tab/>
      </w:r>
      <w:r w:rsidRPr="00523341">
        <w:tab/>
      </w:r>
      <w:r w:rsidRPr="00523341">
        <w:tab/>
      </w:r>
      <w:r w:rsidRPr="00523341">
        <w:tab/>
      </w:r>
      <w:r w:rsidRPr="00523341">
        <w:tab/>
      </w:r>
      <w:r w:rsidRPr="00523341">
        <w:tab/>
      </w:r>
      <w:r w:rsidRPr="00523341">
        <w:tab/>
      </w:r>
      <w:r w:rsidRPr="00523341">
        <w:tab/>
      </w:r>
      <w:r w:rsidRPr="00523341">
        <w:tab/>
      </w:r>
      <w:r w:rsidR="004603CB" w:rsidRPr="00523341">
        <w:t>Ing. František Petro</w:t>
      </w:r>
      <w:r w:rsidRPr="00523341">
        <w:t xml:space="preserve"> </w:t>
      </w:r>
    </w:p>
    <w:p w:rsidR="008373A5" w:rsidRPr="00523341" w:rsidRDefault="00B11AC2" w:rsidP="00523341">
      <w:pPr>
        <w:pStyle w:val="Normlnywebov"/>
        <w:tabs>
          <w:tab w:val="left" w:pos="568"/>
        </w:tabs>
        <w:spacing w:before="0" w:beforeAutospacing="0" w:after="0"/>
        <w:jc w:val="both"/>
      </w:pPr>
      <w:r w:rsidRPr="00523341">
        <w:tab/>
      </w:r>
      <w:r w:rsidRPr="00523341">
        <w:tab/>
      </w:r>
      <w:r w:rsidRPr="00523341">
        <w:tab/>
      </w:r>
      <w:r w:rsidRPr="00523341">
        <w:tab/>
      </w:r>
      <w:r w:rsidRPr="00523341">
        <w:tab/>
      </w:r>
      <w:r w:rsidRPr="00523341">
        <w:tab/>
      </w:r>
      <w:r w:rsidRPr="00523341">
        <w:tab/>
      </w:r>
      <w:r w:rsidRPr="00523341">
        <w:tab/>
      </w:r>
      <w:r w:rsidRPr="00523341">
        <w:tab/>
      </w:r>
      <w:r w:rsidRPr="00523341">
        <w:tab/>
      </w:r>
      <w:r w:rsidR="004603CB" w:rsidRPr="00523341">
        <w:t xml:space="preserve">   </w:t>
      </w:r>
      <w:r w:rsidRPr="00523341">
        <w:t xml:space="preserve"> starosta obce</w:t>
      </w:r>
      <w:r w:rsidR="004603CB" w:rsidRPr="00523341">
        <w:t xml:space="preserve"> </w:t>
      </w:r>
    </w:p>
    <w:sectPr w:rsidR="008373A5" w:rsidRPr="00523341" w:rsidSect="00E32FC0">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D5C" w:rsidRDefault="00C74D5C" w:rsidP="00E32FC0">
      <w:pPr>
        <w:spacing w:after="0" w:line="240" w:lineRule="auto"/>
      </w:pPr>
      <w:r>
        <w:separator/>
      </w:r>
    </w:p>
  </w:endnote>
  <w:endnote w:type="continuationSeparator" w:id="1">
    <w:p w:rsidR="00C74D5C" w:rsidRDefault="00C74D5C" w:rsidP="00E32F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4188"/>
      <w:docPartObj>
        <w:docPartGallery w:val="Page Numbers (Bottom of Page)"/>
        <w:docPartUnique/>
      </w:docPartObj>
    </w:sdtPr>
    <w:sdtContent>
      <w:p w:rsidR="00CA0F01" w:rsidRDefault="00CA0F01">
        <w:pPr>
          <w:pStyle w:val="Pta"/>
          <w:jc w:val="center"/>
        </w:pPr>
        <w:r>
          <w:t xml:space="preserve">- </w:t>
        </w:r>
        <w:fldSimple w:instr=" PAGE   \* MERGEFORMAT ">
          <w:r w:rsidR="005F2E05">
            <w:rPr>
              <w:noProof/>
            </w:rPr>
            <w:t>4</w:t>
          </w:r>
        </w:fldSimple>
        <w:r>
          <w:t xml:space="preserve"> -</w:t>
        </w:r>
      </w:p>
    </w:sdtContent>
  </w:sdt>
  <w:p w:rsidR="00CA0F01" w:rsidRDefault="00CA0F0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D5C" w:rsidRDefault="00C74D5C" w:rsidP="00E32FC0">
      <w:pPr>
        <w:spacing w:after="0" w:line="240" w:lineRule="auto"/>
      </w:pPr>
      <w:r>
        <w:separator/>
      </w:r>
    </w:p>
  </w:footnote>
  <w:footnote w:type="continuationSeparator" w:id="1">
    <w:p w:rsidR="00C74D5C" w:rsidRDefault="00C74D5C" w:rsidP="00E32F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F7879"/>
    <w:multiLevelType w:val="hybridMultilevel"/>
    <w:tmpl w:val="C062F2CE"/>
    <w:lvl w:ilvl="0" w:tplc="819A8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AAB7129"/>
    <w:multiLevelType w:val="hybridMultilevel"/>
    <w:tmpl w:val="9E32561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AB45872"/>
    <w:multiLevelType w:val="hybridMultilevel"/>
    <w:tmpl w:val="0BA2B8DE"/>
    <w:lvl w:ilvl="0" w:tplc="A73E7876">
      <w:start w:val="9"/>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E797D69"/>
    <w:multiLevelType w:val="hybridMultilevel"/>
    <w:tmpl w:val="E67816F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nsid w:val="15AB63FF"/>
    <w:multiLevelType w:val="hybridMultilevel"/>
    <w:tmpl w:val="1292D268"/>
    <w:lvl w:ilvl="0" w:tplc="D61C6F2A">
      <w:start w:val="1"/>
      <w:numFmt w:val="decimal"/>
      <w:lvlText w:val="(%1)"/>
      <w:lvlJc w:val="left"/>
      <w:pPr>
        <w:tabs>
          <w:tab w:val="num" w:pos="1068"/>
        </w:tabs>
        <w:ind w:left="1068" w:hanging="360"/>
      </w:pPr>
      <w:rPr>
        <w:rFonts w:hint="default"/>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5">
    <w:nsid w:val="18837DA4"/>
    <w:multiLevelType w:val="hybridMultilevel"/>
    <w:tmpl w:val="8410EEC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D5A36CE"/>
    <w:multiLevelType w:val="hybridMultilevel"/>
    <w:tmpl w:val="FDCE561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nsid w:val="2FDC4A7D"/>
    <w:multiLevelType w:val="hybridMultilevel"/>
    <w:tmpl w:val="C4AE02B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0EB7005"/>
    <w:multiLevelType w:val="hybridMultilevel"/>
    <w:tmpl w:val="9B2EE21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nsid w:val="3C793FDE"/>
    <w:multiLevelType w:val="hybridMultilevel"/>
    <w:tmpl w:val="2C4813CC"/>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0">
    <w:nsid w:val="45644C44"/>
    <w:multiLevelType w:val="hybridMultilevel"/>
    <w:tmpl w:val="2C4813CC"/>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1">
    <w:nsid w:val="46F3160A"/>
    <w:multiLevelType w:val="hybridMultilevel"/>
    <w:tmpl w:val="2BDC0C0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9254950"/>
    <w:multiLevelType w:val="hybridMultilevel"/>
    <w:tmpl w:val="A0B6FA5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EC76D00"/>
    <w:multiLevelType w:val="hybridMultilevel"/>
    <w:tmpl w:val="B9DE2D22"/>
    <w:lvl w:ilvl="0" w:tplc="7DF4A162">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52ED27DD"/>
    <w:multiLevelType w:val="hybridMultilevel"/>
    <w:tmpl w:val="10CEEF50"/>
    <w:lvl w:ilvl="0" w:tplc="8FA29E84">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nsid w:val="5FBA3F96"/>
    <w:multiLevelType w:val="hybridMultilevel"/>
    <w:tmpl w:val="9E0E1DEE"/>
    <w:lvl w:ilvl="0" w:tplc="041B0011">
      <w:start w:val="1"/>
      <w:numFmt w:val="decimal"/>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0C7755A"/>
    <w:multiLevelType w:val="hybridMultilevel"/>
    <w:tmpl w:val="2C4813CC"/>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7">
    <w:nsid w:val="61FA00E2"/>
    <w:multiLevelType w:val="hybridMultilevel"/>
    <w:tmpl w:val="90B29F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6CA1339A"/>
    <w:multiLevelType w:val="hybridMultilevel"/>
    <w:tmpl w:val="B6CE81A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nsid w:val="7315330A"/>
    <w:multiLevelType w:val="hybridMultilevel"/>
    <w:tmpl w:val="808842C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nsid w:val="75016A67"/>
    <w:multiLevelType w:val="hybridMultilevel"/>
    <w:tmpl w:val="26E80C7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997727B"/>
    <w:multiLevelType w:val="hybridMultilevel"/>
    <w:tmpl w:val="6D20D7FA"/>
    <w:lvl w:ilvl="0" w:tplc="03B6AC02">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320"/>
        </w:tabs>
        <w:ind w:left="1320" w:hanging="360"/>
      </w:pPr>
    </w:lvl>
    <w:lvl w:ilvl="2" w:tplc="041B001B" w:tentative="1">
      <w:start w:val="1"/>
      <w:numFmt w:val="lowerRoman"/>
      <w:lvlText w:val="%3."/>
      <w:lvlJc w:val="right"/>
      <w:pPr>
        <w:tabs>
          <w:tab w:val="num" w:pos="2040"/>
        </w:tabs>
        <w:ind w:left="2040" w:hanging="180"/>
      </w:pPr>
    </w:lvl>
    <w:lvl w:ilvl="3" w:tplc="041B000F" w:tentative="1">
      <w:start w:val="1"/>
      <w:numFmt w:val="decimal"/>
      <w:lvlText w:val="%4."/>
      <w:lvlJc w:val="left"/>
      <w:pPr>
        <w:tabs>
          <w:tab w:val="num" w:pos="2760"/>
        </w:tabs>
        <w:ind w:left="2760" w:hanging="360"/>
      </w:pPr>
    </w:lvl>
    <w:lvl w:ilvl="4" w:tplc="041B0019" w:tentative="1">
      <w:start w:val="1"/>
      <w:numFmt w:val="lowerLetter"/>
      <w:lvlText w:val="%5."/>
      <w:lvlJc w:val="left"/>
      <w:pPr>
        <w:tabs>
          <w:tab w:val="num" w:pos="3480"/>
        </w:tabs>
        <w:ind w:left="3480" w:hanging="360"/>
      </w:pPr>
    </w:lvl>
    <w:lvl w:ilvl="5" w:tplc="041B001B" w:tentative="1">
      <w:start w:val="1"/>
      <w:numFmt w:val="lowerRoman"/>
      <w:lvlText w:val="%6."/>
      <w:lvlJc w:val="right"/>
      <w:pPr>
        <w:tabs>
          <w:tab w:val="num" w:pos="4200"/>
        </w:tabs>
        <w:ind w:left="4200" w:hanging="180"/>
      </w:pPr>
    </w:lvl>
    <w:lvl w:ilvl="6" w:tplc="041B000F" w:tentative="1">
      <w:start w:val="1"/>
      <w:numFmt w:val="decimal"/>
      <w:lvlText w:val="%7."/>
      <w:lvlJc w:val="left"/>
      <w:pPr>
        <w:tabs>
          <w:tab w:val="num" w:pos="4920"/>
        </w:tabs>
        <w:ind w:left="4920" w:hanging="360"/>
      </w:pPr>
    </w:lvl>
    <w:lvl w:ilvl="7" w:tplc="041B0019" w:tentative="1">
      <w:start w:val="1"/>
      <w:numFmt w:val="lowerLetter"/>
      <w:lvlText w:val="%8."/>
      <w:lvlJc w:val="left"/>
      <w:pPr>
        <w:tabs>
          <w:tab w:val="num" w:pos="5640"/>
        </w:tabs>
        <w:ind w:left="5640" w:hanging="360"/>
      </w:pPr>
    </w:lvl>
    <w:lvl w:ilvl="8" w:tplc="041B001B" w:tentative="1">
      <w:start w:val="1"/>
      <w:numFmt w:val="lowerRoman"/>
      <w:lvlText w:val="%9."/>
      <w:lvlJc w:val="right"/>
      <w:pPr>
        <w:tabs>
          <w:tab w:val="num" w:pos="6360"/>
        </w:tabs>
        <w:ind w:left="6360" w:hanging="180"/>
      </w:pPr>
    </w:lvl>
  </w:abstractNum>
  <w:abstractNum w:abstractNumId="22">
    <w:nsid w:val="7E85088C"/>
    <w:multiLevelType w:val="hybridMultilevel"/>
    <w:tmpl w:val="907A04D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FC61072"/>
    <w:multiLevelType w:val="hybridMultilevel"/>
    <w:tmpl w:val="FDCE561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8"/>
  </w:num>
  <w:num w:numId="2">
    <w:abstractNumId w:val="11"/>
  </w:num>
  <w:num w:numId="3">
    <w:abstractNumId w:val="19"/>
  </w:num>
  <w:num w:numId="4">
    <w:abstractNumId w:val="7"/>
  </w:num>
  <w:num w:numId="5">
    <w:abstractNumId w:val="3"/>
  </w:num>
  <w:num w:numId="6">
    <w:abstractNumId w:val="5"/>
  </w:num>
  <w:num w:numId="7">
    <w:abstractNumId w:val="22"/>
  </w:num>
  <w:num w:numId="8">
    <w:abstractNumId w:val="10"/>
  </w:num>
  <w:num w:numId="9">
    <w:abstractNumId w:val="17"/>
  </w:num>
  <w:num w:numId="10">
    <w:abstractNumId w:val="20"/>
  </w:num>
  <w:num w:numId="11">
    <w:abstractNumId w:val="1"/>
  </w:num>
  <w:num w:numId="12">
    <w:abstractNumId w:val="0"/>
  </w:num>
  <w:num w:numId="13">
    <w:abstractNumId w:val="14"/>
  </w:num>
  <w:num w:numId="14">
    <w:abstractNumId w:val="18"/>
  </w:num>
  <w:num w:numId="15">
    <w:abstractNumId w:val="23"/>
  </w:num>
  <w:num w:numId="16">
    <w:abstractNumId w:val="13"/>
  </w:num>
  <w:num w:numId="17">
    <w:abstractNumId w:val="2"/>
  </w:num>
  <w:num w:numId="18">
    <w:abstractNumId w:val="6"/>
  </w:num>
  <w:num w:numId="19">
    <w:abstractNumId w:val="15"/>
  </w:num>
  <w:num w:numId="20">
    <w:abstractNumId w:val="12"/>
  </w:num>
  <w:num w:numId="21">
    <w:abstractNumId w:val="9"/>
  </w:num>
  <w:num w:numId="22">
    <w:abstractNumId w:val="16"/>
  </w:num>
  <w:num w:numId="23">
    <w:abstractNumId w:val="21"/>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90956"/>
    <w:rsid w:val="00045E6C"/>
    <w:rsid w:val="00072062"/>
    <w:rsid w:val="001220BD"/>
    <w:rsid w:val="001447B5"/>
    <w:rsid w:val="00162B12"/>
    <w:rsid w:val="0017798F"/>
    <w:rsid w:val="001B003D"/>
    <w:rsid w:val="001B332E"/>
    <w:rsid w:val="002226FC"/>
    <w:rsid w:val="00232B64"/>
    <w:rsid w:val="00277A9A"/>
    <w:rsid w:val="002C5871"/>
    <w:rsid w:val="002D26CA"/>
    <w:rsid w:val="00335C6D"/>
    <w:rsid w:val="003B2C92"/>
    <w:rsid w:val="003B4892"/>
    <w:rsid w:val="003C5806"/>
    <w:rsid w:val="003D53E2"/>
    <w:rsid w:val="00447BF1"/>
    <w:rsid w:val="004603CB"/>
    <w:rsid w:val="00466BC1"/>
    <w:rsid w:val="00491746"/>
    <w:rsid w:val="004C0216"/>
    <w:rsid w:val="004D2114"/>
    <w:rsid w:val="004F621A"/>
    <w:rsid w:val="00523341"/>
    <w:rsid w:val="00552462"/>
    <w:rsid w:val="00556D5B"/>
    <w:rsid w:val="0059619C"/>
    <w:rsid w:val="005F2E05"/>
    <w:rsid w:val="00602412"/>
    <w:rsid w:val="0063558A"/>
    <w:rsid w:val="00690956"/>
    <w:rsid w:val="006C2790"/>
    <w:rsid w:val="006E59E6"/>
    <w:rsid w:val="006F6BCD"/>
    <w:rsid w:val="00726181"/>
    <w:rsid w:val="00730A5C"/>
    <w:rsid w:val="00764906"/>
    <w:rsid w:val="007943E2"/>
    <w:rsid w:val="007B48F8"/>
    <w:rsid w:val="007E6A38"/>
    <w:rsid w:val="007E7188"/>
    <w:rsid w:val="00807AE1"/>
    <w:rsid w:val="00836846"/>
    <w:rsid w:val="008373A5"/>
    <w:rsid w:val="008464F4"/>
    <w:rsid w:val="008A0E7F"/>
    <w:rsid w:val="00933F2C"/>
    <w:rsid w:val="00A645F3"/>
    <w:rsid w:val="00A83CAE"/>
    <w:rsid w:val="00A97B85"/>
    <w:rsid w:val="00B11806"/>
    <w:rsid w:val="00B11AC2"/>
    <w:rsid w:val="00B36835"/>
    <w:rsid w:val="00B43638"/>
    <w:rsid w:val="00B65D33"/>
    <w:rsid w:val="00B924E4"/>
    <w:rsid w:val="00BA209D"/>
    <w:rsid w:val="00BC6025"/>
    <w:rsid w:val="00C00C34"/>
    <w:rsid w:val="00C0756B"/>
    <w:rsid w:val="00C25B9E"/>
    <w:rsid w:val="00C41143"/>
    <w:rsid w:val="00C63902"/>
    <w:rsid w:val="00C74D5C"/>
    <w:rsid w:val="00C90ED0"/>
    <w:rsid w:val="00C93522"/>
    <w:rsid w:val="00C93629"/>
    <w:rsid w:val="00CA0F01"/>
    <w:rsid w:val="00CB2F02"/>
    <w:rsid w:val="00CC1394"/>
    <w:rsid w:val="00D079AB"/>
    <w:rsid w:val="00D14950"/>
    <w:rsid w:val="00D17197"/>
    <w:rsid w:val="00D57048"/>
    <w:rsid w:val="00D74DC9"/>
    <w:rsid w:val="00D82CA6"/>
    <w:rsid w:val="00DB0728"/>
    <w:rsid w:val="00DE55BB"/>
    <w:rsid w:val="00DF445D"/>
    <w:rsid w:val="00E32FC0"/>
    <w:rsid w:val="00E775E7"/>
    <w:rsid w:val="00E95E80"/>
    <w:rsid w:val="00EA7817"/>
    <w:rsid w:val="00EC0DAF"/>
    <w:rsid w:val="00EC0FB0"/>
    <w:rsid w:val="00EF020E"/>
    <w:rsid w:val="00EF2347"/>
    <w:rsid w:val="00F02B20"/>
    <w:rsid w:val="00F12D55"/>
    <w:rsid w:val="00F22AB0"/>
    <w:rsid w:val="00F245C4"/>
    <w:rsid w:val="00F46097"/>
    <w:rsid w:val="00F4713A"/>
    <w:rsid w:val="00F67370"/>
    <w:rsid w:val="00F9695A"/>
    <w:rsid w:val="00F9734E"/>
    <w:rsid w:val="00FC2D4F"/>
    <w:rsid w:val="00FD0ED1"/>
    <w:rsid w:val="00FD3460"/>
    <w:rsid w:val="00FD75E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373A5"/>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690956"/>
    <w:pPr>
      <w:spacing w:before="100" w:beforeAutospacing="1" w:after="119"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semiHidden/>
    <w:unhideWhenUsed/>
    <w:rsid w:val="00E32FC0"/>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E32FC0"/>
  </w:style>
  <w:style w:type="paragraph" w:styleId="Pta">
    <w:name w:val="footer"/>
    <w:basedOn w:val="Normlny"/>
    <w:link w:val="PtaChar"/>
    <w:uiPriority w:val="99"/>
    <w:unhideWhenUsed/>
    <w:rsid w:val="00E32FC0"/>
    <w:pPr>
      <w:tabs>
        <w:tab w:val="center" w:pos="4536"/>
        <w:tab w:val="right" w:pos="9072"/>
      </w:tabs>
      <w:spacing w:after="0" w:line="240" w:lineRule="auto"/>
    </w:pPr>
  </w:style>
  <w:style w:type="character" w:customStyle="1" w:styleId="PtaChar">
    <w:name w:val="Päta Char"/>
    <w:basedOn w:val="Predvolenpsmoodseku"/>
    <w:link w:val="Pta"/>
    <w:uiPriority w:val="99"/>
    <w:rsid w:val="00E32FC0"/>
  </w:style>
  <w:style w:type="paragraph" w:styleId="Nzov">
    <w:name w:val="Title"/>
    <w:basedOn w:val="Normlny"/>
    <w:next w:val="Normlny"/>
    <w:link w:val="NzovChar"/>
    <w:qFormat/>
    <w:rsid w:val="004603CB"/>
    <w:pPr>
      <w:spacing w:after="0" w:line="240" w:lineRule="auto"/>
      <w:jc w:val="center"/>
    </w:pPr>
    <w:rPr>
      <w:rFonts w:ascii="Times New Roman" w:eastAsia="Times New Roman" w:hAnsi="Times New Roman" w:cs="Times New Roman"/>
      <w:b/>
      <w:bCs/>
      <w:sz w:val="28"/>
      <w:szCs w:val="24"/>
      <w:lang w:eastAsia="ar-SA"/>
    </w:rPr>
  </w:style>
  <w:style w:type="character" w:customStyle="1" w:styleId="NzovChar">
    <w:name w:val="Názov Char"/>
    <w:basedOn w:val="Predvolenpsmoodseku"/>
    <w:link w:val="Nzov"/>
    <w:rsid w:val="004603CB"/>
    <w:rPr>
      <w:rFonts w:ascii="Times New Roman" w:eastAsia="Times New Roman" w:hAnsi="Times New Roman" w:cs="Times New Roman"/>
      <w:b/>
      <w:bCs/>
      <w:sz w:val="28"/>
      <w:szCs w:val="24"/>
      <w:lang w:eastAsia="ar-SA"/>
    </w:rPr>
  </w:style>
  <w:style w:type="paragraph" w:styleId="Textbubliny">
    <w:name w:val="Balloon Text"/>
    <w:basedOn w:val="Normlny"/>
    <w:link w:val="TextbublinyChar"/>
    <w:uiPriority w:val="99"/>
    <w:semiHidden/>
    <w:unhideWhenUsed/>
    <w:rsid w:val="004603C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603CB"/>
    <w:rPr>
      <w:rFonts w:ascii="Tahoma" w:hAnsi="Tahoma" w:cs="Tahoma"/>
      <w:sz w:val="16"/>
      <w:szCs w:val="16"/>
    </w:rPr>
  </w:style>
  <w:style w:type="paragraph" w:styleId="Odsekzoznamu">
    <w:name w:val="List Paragraph"/>
    <w:basedOn w:val="Normlny"/>
    <w:uiPriority w:val="34"/>
    <w:qFormat/>
    <w:rsid w:val="001220BD"/>
    <w:pPr>
      <w:ind w:left="720"/>
      <w:contextualSpacing/>
    </w:pPr>
  </w:style>
</w:styles>
</file>

<file path=word/webSettings.xml><?xml version="1.0" encoding="utf-8"?>
<w:webSettings xmlns:r="http://schemas.openxmlformats.org/officeDocument/2006/relationships" xmlns:w="http://schemas.openxmlformats.org/wordprocessingml/2006/main">
  <w:divs>
    <w:div w:id="108400894">
      <w:bodyDiv w:val="1"/>
      <w:marLeft w:val="0"/>
      <w:marRight w:val="0"/>
      <w:marTop w:val="0"/>
      <w:marBottom w:val="0"/>
      <w:divBdr>
        <w:top w:val="none" w:sz="0" w:space="0" w:color="auto"/>
        <w:left w:val="none" w:sz="0" w:space="0" w:color="auto"/>
        <w:bottom w:val="none" w:sz="0" w:space="0" w:color="auto"/>
        <w:right w:val="none" w:sz="0" w:space="0" w:color="auto"/>
      </w:divBdr>
    </w:div>
    <w:div w:id="213039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31948-7379-4A26-A76B-56FB3BE2E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824</Words>
  <Characters>4699</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Kancelária</cp:lastModifiedBy>
  <cp:revision>16</cp:revision>
  <cp:lastPrinted>2022-11-28T10:32:00Z</cp:lastPrinted>
  <dcterms:created xsi:type="dcterms:W3CDTF">2019-11-21T11:09:00Z</dcterms:created>
  <dcterms:modified xsi:type="dcterms:W3CDTF">2022-12-16T07:17:00Z</dcterms:modified>
</cp:coreProperties>
</file>